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Paqueterías Utilizadas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Para el desarrollo y funcionamiento de esta aplicación, se utilizaron las siguientes paqueterías: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shiny:</w:t>
      </w:r>
      <w:r w:rsidDel="00000000" w:rsidR="00000000" w:rsidRPr="00000000">
        <w:rPr>
          <w:rtl w:val="0"/>
        </w:rPr>
        <w:t xml:space="preserve"> Esta es la librería fundamental para crear aplicaciones web interactivas usando R. Proporciona las funciones y herramientas necesarias para construir y lanzar aplicaciones Shiny, incluyendo una variedad de widgets de entrada y salida. Funciones principales ocupadas dentro del proyecto: ui, server, runApp, shinyApp, entre otros.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dplyr: </w:t>
      </w:r>
      <w:r w:rsidDel="00000000" w:rsidR="00000000" w:rsidRPr="00000000">
        <w:rPr>
          <w:rtl w:val="0"/>
        </w:rPr>
        <w:t xml:space="preserve">Es una librería esencial para la manipulación y transformación de datos en R. En el contexto de Shiny, es útil para procesar y filtrar datos antes de presentarlos en la UI. Funciones principales ocupadas dentro del proyecto: filter, select, mutate, arrange, group_by, entre otros.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tidyr: </w:t>
      </w:r>
      <w:r w:rsidDel="00000000" w:rsidR="00000000" w:rsidRPr="00000000">
        <w:rPr>
          <w:rtl w:val="0"/>
        </w:rPr>
        <w:t xml:space="preserve">Complementa a dplyr al proporcionar funciones para cambiar la forma de los conjuntos de datos, como convertir datos de formato ancho a largo y viceversa. Funciones principales ocupadas dentro del proyecto: spread, gather, pivot_wider, pivot_longer, entre otros.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reactable:</w:t>
      </w:r>
      <w:r w:rsidDel="00000000" w:rsidR="00000000" w:rsidRPr="00000000">
        <w:rPr>
          <w:rtl w:val="0"/>
        </w:rPr>
        <w:t xml:space="preserve"> Esta librería es útil para crear y personalizar tablas interactivas en aplicaciones Shiny. Permite agregar características como resaltado, filtrado y paginación a las tablas. Funciones principales ocupadas dentro del proyecto: reactable.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plotly:</w:t>
      </w:r>
      <w:r w:rsidDel="00000000" w:rsidR="00000000" w:rsidRPr="00000000">
        <w:rPr>
          <w:rtl w:val="0"/>
        </w:rPr>
        <w:t xml:space="preserve"> plotly se utiliza para crear gráficos interactivos y visualizaciones en R. En Shiny, permite que los usuarios interactúen con los gráficos, como hacer zoom, pan y obtener información sobre puntos específicos. Funciones principales ocupadas dentro del proyecto: plot_ly, ggplotly.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openxlsx:</w:t>
      </w:r>
      <w:r w:rsidDel="00000000" w:rsidR="00000000" w:rsidRPr="00000000">
        <w:rPr>
          <w:rtl w:val="0"/>
        </w:rPr>
        <w:t xml:space="preserve"> Esta librería es esencial para leer y escribir archivos Excel (.xlsx) en R. En una aplicación Shiny, puede ser útil para permitir a los usuarios cargar o descargar datos en formato Excel. Funciones principales ocupadas dentro del proyecto: read.xlsx, write.xlsx.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Bases de datos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Las bases de datos utilizadas en esta aplicación se dividen en tres categorías principales: Riesgos de Trabajo (RT), Dictámenes de Invalidez (INV) e Incapacidades para Beneficiarios (BI). A continuación, se detallan las tablas y gráficos asociados a cada categoría, así como los archivos .rds correspondientes: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Las variables incluidas en las bases de datos permanecen constantes, y en ellas se alberga información desagregada según diversos criterios: año, entidad federativa, sexo, grupo de edad y naturaleza de la lesión.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ANIO:</w:t>
      </w:r>
      <w:r w:rsidDel="00000000" w:rsidR="00000000" w:rsidRPr="00000000">
        <w:rPr>
          <w:rtl w:val="0"/>
        </w:rPr>
        <w:t xml:space="preserve"> Año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etario:</w:t>
      </w:r>
      <w:r w:rsidDel="00000000" w:rsidR="00000000" w:rsidRPr="00000000">
        <w:rPr>
          <w:rtl w:val="0"/>
        </w:rPr>
        <w:t xml:space="preserve"> Grupo de edad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Sexo:</w:t>
      </w:r>
      <w:r w:rsidDel="00000000" w:rsidR="00000000" w:rsidRPr="00000000">
        <w:rPr>
          <w:rtl w:val="0"/>
        </w:rPr>
        <w:t xml:space="preserve"> Sexo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conteo:</w:t>
      </w:r>
      <w:r w:rsidDel="00000000" w:rsidR="00000000" w:rsidRPr="00000000">
        <w:rPr>
          <w:rtl w:val="0"/>
        </w:rPr>
        <w:t xml:space="preserve"> Total de trabajadores según sus riesgos de trabajo, dictámenes de invalidez o incapacidades.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Estado:</w:t>
      </w:r>
      <w:r w:rsidDel="00000000" w:rsidR="00000000" w:rsidRPr="00000000">
        <w:rPr>
          <w:rtl w:val="0"/>
        </w:rPr>
        <w:t xml:space="preserve"> Entidad Federativa o República Mexicana.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Empresas:</w:t>
      </w:r>
      <w:r w:rsidDel="00000000" w:rsidR="00000000" w:rsidRPr="00000000">
        <w:rPr>
          <w:rtl w:val="0"/>
        </w:rPr>
        <w:t xml:space="preserve"> Número de empresas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Trabajadores: </w:t>
      </w:r>
      <w:r w:rsidDel="00000000" w:rsidR="00000000" w:rsidRPr="00000000">
        <w:rPr>
          <w:rtl w:val="0"/>
        </w:rPr>
        <w:t xml:space="preserve">Número de trabajadores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LESION:</w:t>
      </w:r>
      <w:r w:rsidDel="00000000" w:rsidR="00000000" w:rsidRPr="00000000">
        <w:rPr>
          <w:rtl w:val="0"/>
        </w:rPr>
        <w:t xml:space="preserve"> Tipo de lesión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TIPO_RIESGO:</w:t>
      </w:r>
      <w:r w:rsidDel="00000000" w:rsidR="00000000" w:rsidRPr="00000000">
        <w:rPr>
          <w:rtl w:val="0"/>
        </w:rPr>
        <w:t xml:space="preserve"> Tipo de riesgo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porc1, porc2, porc#:</w:t>
      </w:r>
      <w:r w:rsidDel="00000000" w:rsidR="00000000" w:rsidRPr="00000000">
        <w:rPr>
          <w:rtl w:val="0"/>
        </w:rPr>
        <w:t xml:space="preserve"> Porcentaje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Disponer de bases de datos específicas para explorar la información relacionada con riesgos laborales, invalidez e incapacidades permite una organización y análisis detallado de los datos, facilitando así su operabilidad, interpretación y aplicación en diversos contextos. Esta estructura organizada no solo agiliza la consulta de información relevante, sino que también propicia una comprensión más clara y precisa, lo que resulta crucial para tomar decisiones informadas y diseñar estrategias efectivas ante los desafíos presentados en estas áreas.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Riesgos de Trabajo: Prefijo “rt_”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Riesgos de trabajo (RT) por delegación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Tabla “Indicadores de riesgo de trabajo en población IMSS, México 2012-2021”: Archivo “rt_tiposderiesgos.rds”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Gráfico “Riesgos de trabajo en población IMSS, Nacional, 2012-2021”: Archivo “rt_tip.rds”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“Riesgos de trabajo en población IMSS según tipo, Nacional, 2012-2021”: Archivo “rt_tipries.rds”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“Indicadores de riesgo de trabajo en población IMSS, Nacional, 2012-2021”: Archivo “rt_tiposderiesgos.rds”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RT - Trabajadores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Tabla “Indicadores de trabajadores bajo seguro de riesgo de trabajo según edad y sexo, México 2012-2021”: Archivo “rt_aniosexo.rds”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“Trabajadores bajo seguro de riesgo según sexo, Nacional, 2012-2021”: Archivo “rt_as1.rds”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“Trabajadores bajo seguro de riesgo según grupo de edad, Nacional, 2012-2021”: Archivo “rt_aniosexopira.rds”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RT - Naturaleza de la lesión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Tabla “Casos de riesgo de trabajo según naturaleza de la lesión, México 2012-2021”: Archivo “rt_lesion.rds”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“10 principales casos de riesgo por naturaleza de la lesión - Nacional, 2012-2021”: Archivo “rt_l1.rds”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Dictámenes de invalidez: Prefijo “inv_”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Dictámenes de invalidez (INV) por delegación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Tabla “Indicadores de invalidez de trabajo en población IMSS, México 2012-2021”: Archivo “inv_tiposderiesgos.rds”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“Dictámenes de invalidez en población IMSS, Nacional, 2012-2021”: Archivo “inv_tip.rds”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“Dictámenes de inv. en población IMSS según tipo, Nacional, 2012-2021”: Archivo “inv_tipries.rds”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“Indicadores de dictámenes de invalidez en población IMSS, Nacional, 2012-2021”: Archivo “inv_tiposderiesgos.rds”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 - Trabajadores</w:t>
      </w:r>
    </w:p>
    <w:p w:rsidR="00000000" w:rsidDel="00000000" w:rsidP="00000000" w:rsidRDefault="00000000" w:rsidRPr="00000000" w14:paraId="00000033">
      <w:pPr>
        <w:numPr>
          <w:ilvl w:val="1"/>
          <w:numId w:val="7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Tabla “Indicadores de trabajadores bajo invalidez según edad y sexo, México 2012-2021”: Archivo “inv_aniosexo.rds”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“Trabajadores bajo dictámenes de invalidez según sexo, Nacional, 2012-2021”: Archivo “inv_as1.rds”</w:t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“Trabajadores bajo dictámenes de invalidez según grupo de edad, Nacional, 2012-2021”: Archivo “inv_aniosexopira.rds”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 - Naturaleza de la lesión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Tabla “Casos de invalidez según naturaleza de la lesión, México 2012-2021”: Archivo “inv_lesion.rds”</w:t>
      </w:r>
    </w:p>
    <w:p w:rsidR="00000000" w:rsidDel="00000000" w:rsidP="00000000" w:rsidRDefault="00000000" w:rsidRPr="00000000" w14:paraId="00000038">
      <w:pPr>
        <w:numPr>
          <w:ilvl w:val="1"/>
          <w:numId w:val="7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“10 principales casos de dictámenes de invalidez por naturaleza de la lesión - Nacional, 2012-2021”: Archivo “inv_l1.rds”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Incapacidades para beneficiarios: Prefijo “bi_”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Incapacidades para beneficiarios (BI) por delegación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Tabla “Indicadores de incapacidades de beneficiarios en población IMSS, México 2012-2021”: Archivo “bi_tiposderiesgos.rds”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“Incapacidades en población IMSS, Nacional, 2012-2021”: Archivo “bi_tip.rds”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“Incapacidades de inv. en población IMSS según tipo, Nacional, 2012-2021”: Archivo “bi_tipries.rds”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“Indicadores de incapacidades en población IMSS, Nacional, 2012-2021”: Archivo “bi_tiposderiesgos.rds”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BI - Trabajadores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Tabla “Indicadores de trabajadores bajo incapacidad de beneficiarios según edad y sexo, México 2012-2021”: Archivo “inv_aniosexo.rds”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“Trabajadores bajo incapacidades según sexo, Nacional, 2012-2021”: Archivo “bi_as1.rds”</w:t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“Trabajadores bajo incapacidades según grupo de edad, Nacional, 2012-2021”: Archivo “bi_aniosexopira.rds”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BI - Naturaleza de la lesión</w:t>
      </w:r>
    </w:p>
    <w:p w:rsidR="00000000" w:rsidDel="00000000" w:rsidP="00000000" w:rsidRDefault="00000000" w:rsidRPr="00000000" w14:paraId="00000044">
      <w:pPr>
        <w:numPr>
          <w:ilvl w:val="1"/>
          <w:numId w:val="5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Tabla “Casos de incapacidad según naturaleza de la lesión, México 2012-2021”: Archivo “bi_lesion.rds”</w:t>
      </w:r>
    </w:p>
    <w:p w:rsidR="00000000" w:rsidDel="00000000" w:rsidP="00000000" w:rsidRDefault="00000000" w:rsidRPr="00000000" w14:paraId="00000045">
      <w:pPr>
        <w:numPr>
          <w:ilvl w:val="1"/>
          <w:numId w:val="5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Gráfico “10 principales casos de incapacidades por naturaleza de la lesión - Nacional, 2012-2021”: Archivo “bi_l1.rds”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u w:val="single"/>
          <w:rtl w:val="0"/>
        </w:rPr>
        <w:t xml:space="preserve">Lineamientos de Diseño y Codificación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El desarrollo de esta aplicación Shiny se ha guiado por principios de diseño y codificación que buscan garantizar un código limpio, eficiente y mantenible. Estos son los pilares que han sostenido el proyecto desde sus inicios y que han permitido que la aplicación sea robusta y confiable. Los aspectos clave de los lineamientos son los siguientes: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Estructura del Código: Se ha buscado mantener una estructura modular, donde cada función tiene un propósito claro y definido, evitando funciones excesivamente largas o complejas.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Nomenclatura: Se ha adoptado una convención de nombres consistente para variables, funciones y archivos. Esto facilita la lectura y comprensión del código, especialmente para nuevos colaboradores.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Documentación Interna: Cada función y módulo cuenta con comentarios descriptivos que explican su propósito, parámetros y retornos. Además, se han incluido comentarios en bloques de código más complejos para clarificar su lógica.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Organización de Archivos: Los archivos y directorios están organizados de manera lógica, agrupando funcionalidades relacionadas y separando la interfaz de usuario, el servidor y los datos.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Para aquellos que estén interesados en contribuir, es esencial revisar y adherirse a estos lineamientos. Esto asegura que el código mantenga un estándar alto y que la aplicación continúe siendo fácil de modificar y expandir en el futuro.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Colaboraciones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La colaboración es fundamental para mejorar y expandir las capacidades de esta aplicación Shiny. Si identificas oportunidades de mejora, correcciones o incluso nuevas características que podrían enriquecer la experiencia del usuario, ¡estamos abiertos a tus aportaciones!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Pasos para contribuir a la aplicación Shiny de descarga: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Entender la Funcionalidad: Familiarízate con la aplicación y su principal función de descarga. Esto te ayudará a identificar áreas de mejora o posibles extensiones.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Clonar el Proyecto: Haz una descarga del proyecto e implementa el mismo en tu máquina local.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Implementar Cambios: Realiza las modificaciones o añade las características que consideres pertinentes. Si estás añadiendo una nueva funcionalidad, asegúrate de que no interfiera con la función principal de descarga.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Probar la Aplicación: Antes de enviar tus cambios, prueba la aplicación localmente para asegurarte de que todo funcione correctamente y de que la función de descarga sigue siendo operativa.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Documentar: Añade comentarios explicativos a cualquier código nuevo o modificado. Si has añadido una nueva funcionalidad, considera actualizar el README o cualquier otra documentación relevante.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Contacto: Con gusto puedes enviarnos un correo electrónico a uisp@insp.mx y con gusto te asistiremos en tu proceso de colaboración. Tu feedback y aportaciones son valiosos para nosotros, y estamos aquí para ayudarte en cada paso del camino.</w:t>
      </w:r>
    </w:p>
    <w:p w:rsidR="00000000" w:rsidDel="00000000" w:rsidP="00000000" w:rsidRDefault="00000000" w:rsidRPr="00000000" w14:paraId="0000005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