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C4F" w:rsidP="00B71244" w:rsidRDefault="00E14972" w14:paraId="55543481" w14:textId="4D4E5930">
      <w:pPr>
        <w:spacing w:after="0" w:line="259" w:lineRule="auto"/>
        <w:ind w:left="321" w:firstLine="0"/>
        <w:jc w:val="left"/>
      </w:pPr>
      <w:r>
        <w:rPr>
          <w:b/>
          <w:sz w:val="22"/>
        </w:rPr>
        <w:t xml:space="preserve">REQUISITOS MÍNIMOS PARA LA ENTREGA DE RECURSOS DIGITALES DE INFORMACIÓN DE LOS PROYECTOS CONACYT </w:t>
      </w:r>
    </w:p>
    <w:p w:rsidR="008F6C4F" w:rsidRDefault="00E14972" w14:paraId="1A6F2F07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F6C4F" w:rsidRDefault="00E14972" w14:paraId="366BE42E" w14:textId="77777777">
      <w:pPr>
        <w:spacing w:after="0" w:line="259" w:lineRule="auto"/>
        <w:ind w:left="0" w:firstLine="0"/>
        <w:jc w:val="left"/>
      </w:pPr>
      <w:r>
        <w:rPr>
          <w:color w:val="242424"/>
        </w:rPr>
        <w:t xml:space="preserve"> </w:t>
      </w:r>
    </w:p>
    <w:p w:rsidR="008F6C4F" w:rsidRDefault="00E14972" w14:paraId="641D7ADF" w14:textId="40D7C56D">
      <w:pPr>
        <w:spacing w:after="4"/>
        <w:ind w:left="10" w:hanging="10"/>
      </w:pPr>
      <w:r>
        <w:rPr>
          <w:color w:val="242424"/>
        </w:rPr>
        <w:t xml:space="preserve">Tipo de recursos de información: bases de imágenes, </w:t>
      </w:r>
      <w:r w:rsidR="002D4C42">
        <w:rPr>
          <w:color w:val="242424"/>
        </w:rPr>
        <w:t>software</w:t>
      </w:r>
      <w:r>
        <w:rPr>
          <w:color w:val="242424"/>
        </w:rPr>
        <w:t xml:space="preserve">: </w:t>
      </w:r>
    </w:p>
    <w:p w:rsidR="008F6C4F" w:rsidRDefault="00E14972" w14:paraId="59FFA5C3" w14:textId="77777777">
      <w:pPr>
        <w:spacing w:after="0" w:line="259" w:lineRule="auto"/>
        <w:ind w:left="0" w:firstLine="0"/>
        <w:jc w:val="left"/>
      </w:pPr>
      <w:r>
        <w:rPr>
          <w:color w:val="242424"/>
        </w:rPr>
        <w:t xml:space="preserve">  </w:t>
      </w:r>
    </w:p>
    <w:p w:rsidR="008F6C4F" w:rsidP="009E32EA" w:rsidRDefault="00E14972" w14:paraId="39434048" w14:textId="032F43BB">
      <w:pPr>
        <w:tabs>
          <w:tab w:val="center" w:pos="407"/>
          <w:tab w:val="center" w:pos="2298"/>
        </w:tabs>
        <w:spacing w:after="4"/>
        <w:ind w:left="0" w:firstLine="0"/>
        <w:jc w:val="left"/>
      </w:pPr>
      <w:r>
        <w:rPr>
          <w:sz w:val="22"/>
        </w:rPr>
        <w:tab/>
      </w:r>
      <w:r>
        <w:rPr>
          <w:rFonts w:ascii="Segoe UI Symbol" w:hAnsi="Segoe UI Symbol" w:eastAsia="Segoe UI Symbol" w:cs="Segoe UI Symbol"/>
          <w:color w:val="242424"/>
          <w:sz w:val="20"/>
        </w:rPr>
        <w:t>•</w:t>
      </w:r>
      <w:r>
        <w:rPr>
          <w:rFonts w:ascii="Arial" w:hAnsi="Arial" w:eastAsia="Arial" w:cs="Arial"/>
          <w:color w:val="242424"/>
          <w:sz w:val="20"/>
        </w:rPr>
        <w:t xml:space="preserve"> </w:t>
      </w:r>
      <w:r w:rsidR="00DA3340">
        <w:rPr>
          <w:rFonts w:ascii="Arial" w:hAnsi="Arial" w:eastAsia="Arial" w:cs="Arial"/>
          <w:color w:val="242424"/>
          <w:sz w:val="20"/>
        </w:rPr>
        <w:tab/>
      </w:r>
      <w:r>
        <w:rPr>
          <w:b/>
          <w:color w:val="242424"/>
        </w:rPr>
        <w:t>Contenedores:</w:t>
      </w:r>
      <w:r>
        <w:rPr>
          <w:color w:val="242424"/>
        </w:rPr>
        <w:t xml:space="preserve"> TAR, GZIP, ZIP </w:t>
      </w:r>
    </w:p>
    <w:p w:rsidR="008F6C4F" w:rsidRDefault="008F6C4F" w14:paraId="700304DD" w14:textId="30BDC5AF">
      <w:pPr>
        <w:spacing w:after="0" w:line="259" w:lineRule="auto"/>
        <w:ind w:left="0" w:firstLine="0"/>
        <w:jc w:val="left"/>
      </w:pPr>
    </w:p>
    <w:p w:rsidR="008F6C4F" w:rsidRDefault="008F6C4F" w14:paraId="3EDE829A" w14:textId="3E6D5786">
      <w:pPr>
        <w:spacing w:after="0" w:line="259" w:lineRule="auto"/>
        <w:ind w:left="0" w:firstLine="0"/>
        <w:jc w:val="left"/>
      </w:pPr>
    </w:p>
    <w:p w:rsidR="008F6C4F" w:rsidRDefault="00E14972" w14:paraId="79453292" w14:textId="77777777">
      <w:pPr>
        <w:pStyle w:val="Heading1"/>
        <w:ind w:left="-5"/>
      </w:pPr>
      <w:r>
        <w:t xml:space="preserve">FICHA TÉCNICA </w:t>
      </w:r>
    </w:p>
    <w:p w:rsidR="008F6C4F" w:rsidRDefault="00E14972" w14:paraId="6EB20911" w14:textId="54D207A2">
      <w:pPr>
        <w:numPr>
          <w:ilvl w:val="0"/>
          <w:numId w:val="2"/>
        </w:numPr>
        <w:ind w:hanging="360"/>
      </w:pPr>
      <w:r>
        <w:rPr>
          <w:b/>
        </w:rPr>
        <w:t>Objetivo general del proyecto</w:t>
      </w:r>
      <w:r>
        <w:t xml:space="preserve">. </w:t>
      </w:r>
      <w:r w:rsidRPr="00AF3F0A" w:rsidR="00AF3F0A">
        <w:t>Diseñar y crear una plataforma para coordinar esfuerzos de intercambio seguro de datos de salud y la creación de servicios seguros de analítica de datos sin realizar cambios mayores en los sistemas de expediente Clínico Electrónico (SECE) existentes permitiendo su adecuación al cumplimiento de normas oficiales y considerando los estándares que rigen su implementación. La plataforma se basará en servicios configurables para la gestión, aseguramiento, control de acceso, intercambio y preservación de grandes volúmenes de datos en salud (Big Data) enfocados en avanzar hacia la creación de un SECE único nacional y coadyuvar en la edificación de un repositorio nacional de ejecución segura de servicios de análisis de datos médicos.</w:t>
      </w:r>
    </w:p>
    <w:p w:rsidR="00F83CB0" w:rsidRDefault="00E14972" w14:paraId="5C579E50" w14:textId="2DC6EA2B">
      <w:pPr>
        <w:numPr>
          <w:ilvl w:val="0"/>
          <w:numId w:val="2"/>
        </w:numPr>
        <w:spacing w:after="123" w:line="239" w:lineRule="auto"/>
        <w:ind w:hanging="360"/>
      </w:pPr>
      <w:r>
        <w:rPr>
          <w:b/>
        </w:rPr>
        <w:t>Propósito del recurso</w:t>
      </w:r>
      <w:r>
        <w:t xml:space="preserve">. </w:t>
      </w:r>
      <w:r w:rsidR="009E32EA">
        <w:rPr>
          <w:sz w:val="22"/>
        </w:rPr>
        <w:t>Diseñar e implementar un sistema de diagnóstico asistido por computadora para la detección, caracterización y clasificación de cáncer primario de huesos largos usando imágenes de tomografía computada para su integración a un repositorio nacional de servicios de análisis de datos de salud.</w:t>
      </w:r>
      <w:r w:rsidR="009E32EA">
        <w:rPr>
          <w:sz w:val="22"/>
        </w:rPr>
        <w:t xml:space="preserve"> A</w:t>
      </w:r>
      <w:r w:rsidR="007B2FEC">
        <w:t>nálisis, usos institucionales.</w:t>
      </w:r>
    </w:p>
    <w:p w:rsidRPr="00AF3F0A" w:rsidR="008F6C4F" w:rsidRDefault="00E14972" w14:paraId="4D39E78A" w14:textId="6CB6A0C9">
      <w:pPr>
        <w:numPr>
          <w:ilvl w:val="0"/>
          <w:numId w:val="2"/>
        </w:numPr>
        <w:ind w:hanging="360"/>
        <w:rPr/>
      </w:pPr>
      <w:r w:rsidRPr="67052CF7" w:rsidR="67052CF7">
        <w:rPr>
          <w:b w:val="1"/>
          <w:bCs w:val="1"/>
        </w:rPr>
        <w:t xml:space="preserve">Investigador principal a cargo. </w:t>
      </w:r>
      <w:r w:rsidR="67052CF7">
        <w:rPr/>
        <w:t>Miguel Contreras Murillo, José Luis González Compeán. Marco Antonio Núñez Gaona.</w:t>
      </w:r>
    </w:p>
    <w:p w:rsidR="007B2FEC" w:rsidRDefault="00E14972" w14:paraId="09F27E1E" w14:textId="6FAD8014">
      <w:pPr>
        <w:numPr>
          <w:ilvl w:val="0"/>
          <w:numId w:val="2"/>
        </w:numPr>
        <w:ind w:hanging="360"/>
      </w:pPr>
      <w:r>
        <w:rPr>
          <w:b/>
        </w:rPr>
        <w:t>Recolección/obtención de los datos.</w:t>
      </w:r>
      <w:r>
        <w:t xml:space="preserve"> </w:t>
      </w:r>
    </w:p>
    <w:p w:rsidR="00F46303" w:rsidP="00F46303" w:rsidRDefault="00F46303" w14:paraId="76E348AC" w14:textId="47FED2AF">
      <w:pPr>
        <w:ind w:left="706" w:firstLine="0"/>
        <w:rPr>
          <w:sz w:val="22"/>
        </w:rPr>
      </w:pPr>
      <w:r w:rsidRPr="00F46303">
        <w:t>Creación del repositorio de imágenes médicas</w:t>
      </w:r>
      <w:r w:rsidRPr="00F46303">
        <w:rPr>
          <w:sz w:val="22"/>
        </w:rPr>
        <w:t xml:space="preserve"> </w:t>
      </w:r>
      <w:r>
        <w:rPr>
          <w:sz w:val="22"/>
        </w:rPr>
        <w:t xml:space="preserve">implementando una aplicación de consulta y recuperación en lenguaje estructurado de imágenes de tomografía con filtrado de información (fecha de estudio, modalidad y descripción de estudio). </w:t>
      </w:r>
      <w:r>
        <w:t xml:space="preserve">Extracción de la información contenida en los metadatos y </w:t>
      </w:r>
      <w:proofErr w:type="spellStart"/>
      <w:r>
        <w:t>anonimización</w:t>
      </w:r>
      <w:proofErr w:type="spellEnd"/>
      <w:r>
        <w:t>,</w:t>
      </w:r>
      <w:r>
        <w:rPr>
          <w:sz w:val="22"/>
        </w:rPr>
        <w:t xml:space="preserve"> excluyendo la información sensible de cada imagen del banco de datos, eliminando los metadatos asociados a cada imagen en formato DICOM referente a pacientes, médicos e institución entre otros. Generación de los planos anatómicos sagital y coronal a partir del plano axial de cada serie de imágenes. </w:t>
      </w:r>
      <w:r w:rsidR="00BB6780">
        <w:rPr>
          <w:sz w:val="22"/>
        </w:rPr>
        <w:t xml:space="preserve">Se convierten las imágenes del formato DICOM a PNG. </w:t>
      </w:r>
      <w:r w:rsidRPr="00F46303">
        <w:rPr>
          <w:sz w:val="22"/>
        </w:rPr>
        <w:t>Etiquetado de imágenes manual</w:t>
      </w:r>
      <w:r>
        <w:rPr>
          <w:sz w:val="22"/>
        </w:rPr>
        <w:t>; p</w:t>
      </w:r>
      <w:r w:rsidRPr="00F46303">
        <w:rPr>
          <w:sz w:val="22"/>
        </w:rPr>
        <w:t>ara el entrenamiento del modelo se requiere información previamente analizada por el médico especialista donde cada región de interés es definida por medio de un etiquetado manual</w:t>
      </w:r>
      <w:r>
        <w:rPr>
          <w:sz w:val="22"/>
        </w:rPr>
        <w:t>, esto es enmarcar cara región de interés y definir el tipo de objeto del que se trata</w:t>
      </w:r>
      <w:r w:rsidRPr="00F46303">
        <w:rPr>
          <w:sz w:val="22"/>
        </w:rPr>
        <w:t>. Posteriormente, es necesario entrenar el modelo de detección de imágenes; durante esta etapa, las redes neuronales convoluciones aprenden a identificar diferentes patrones presentes en las zonas de interés en cada una de las imágenes etiquetadas dadas; se encuentran las zonas con mayor presencia de estas características por medio de diferentes técnicas (dependiendo del diseño de la red que se utilice)</w:t>
      </w:r>
      <w:r>
        <w:rPr>
          <w:sz w:val="22"/>
        </w:rPr>
        <w:t xml:space="preserve"> y se obtiene un modelo entrenado capaz de realizar nuevas detecciones</w:t>
      </w:r>
      <w:r w:rsidRPr="00F46303">
        <w:rPr>
          <w:sz w:val="22"/>
        </w:rPr>
        <w:t>.</w:t>
      </w:r>
    </w:p>
    <w:p w:rsidR="008F6C4F" w:rsidRDefault="00E14972" w14:paraId="2D9C12E9" w14:textId="29A1CABA">
      <w:pPr>
        <w:numPr>
          <w:ilvl w:val="0"/>
          <w:numId w:val="2"/>
        </w:numPr>
        <w:spacing w:after="123" w:line="239" w:lineRule="auto"/>
        <w:ind w:hanging="360"/>
      </w:pPr>
      <w:r>
        <w:rPr>
          <w:b/>
        </w:rPr>
        <w:t>Periodo de recolección/obtención de datos</w:t>
      </w:r>
      <w:r>
        <w:t xml:space="preserve">. </w:t>
      </w:r>
    </w:p>
    <w:p w:rsidR="00F46303" w:rsidP="00F46303" w:rsidRDefault="00F46303" w14:paraId="0F576822" w14:textId="2742A849">
      <w:pPr>
        <w:spacing w:after="123" w:line="239" w:lineRule="auto"/>
        <w:ind w:left="706" w:firstLine="0"/>
      </w:pPr>
      <w:r>
        <w:rPr>
          <w:sz w:val="22"/>
        </w:rPr>
        <w:lastRenderedPageBreak/>
        <w:t>La fuente de información está formada por imágenes de tomografía computada de huesos largos almacenados en el PACS-INR desde el año 2014 hasta el año 2020 y que en la descripción de estudio contenga las etiquetas de Fémur.</w:t>
      </w:r>
    </w:p>
    <w:p w:rsidR="008F6C4F" w:rsidRDefault="00E14972" w14:paraId="578E500E" w14:textId="5C6EA2AE">
      <w:pPr>
        <w:numPr>
          <w:ilvl w:val="0"/>
          <w:numId w:val="2"/>
        </w:numPr>
        <w:ind w:hanging="360"/>
        <w:rPr/>
      </w:pPr>
      <w:r w:rsidRPr="67052CF7" w:rsidR="67052CF7">
        <w:rPr>
          <w:b w:val="1"/>
          <w:bCs w:val="1"/>
        </w:rPr>
        <w:t>Variables incluidas</w:t>
      </w:r>
      <w:r w:rsidR="67052CF7">
        <w:rPr/>
        <w:t>.</w:t>
      </w:r>
      <w:r w:rsidR="67052CF7">
        <w:rPr/>
        <w:t xml:space="preserve"> Se incluyen contendores con el software que permite el entrenamiento de nuevos modelos, y contenedores con modelos entrenados para la detección automática de objetos con características tumorales en pulmones y huesos largo (fémur). Los resultados obtenidos de cada detección son: Nombre de la imagen correspondiente, </w:t>
      </w:r>
      <w:r w:rsidRPr="67052CF7" w:rsidR="67052CF7">
        <w:rPr>
          <w:i w:val="1"/>
          <w:iCs w:val="1"/>
        </w:rPr>
        <w:t>Coordenadas</w:t>
      </w:r>
      <w:r w:rsidR="67052CF7">
        <w:rPr/>
        <w:t xml:space="preserve"> y </w:t>
      </w:r>
      <w:r w:rsidRPr="67052CF7" w:rsidR="67052CF7">
        <w:rPr>
          <w:i w:val="1"/>
          <w:iCs w:val="1"/>
        </w:rPr>
        <w:t>clase</w:t>
      </w:r>
      <w:r w:rsidR="67052CF7">
        <w:rPr/>
        <w:t xml:space="preserve"> de cada región de interés en formato</w:t>
      </w:r>
      <w:r w:rsidR="67052CF7">
        <w:rPr/>
        <w:t xml:space="preserve"> XML-</w:t>
      </w:r>
      <w:r w:rsidR="67052CF7">
        <w:rPr/>
        <w:t>PascalVoc</w:t>
      </w:r>
      <w:r w:rsidR="67052CF7">
        <w:rPr/>
        <w:t xml:space="preserve"> (</w:t>
      </w:r>
      <w:r w:rsidR="67052CF7">
        <w:rPr/>
        <w:t>xmin</w:t>
      </w:r>
      <w:r w:rsidR="67052CF7">
        <w:rPr/>
        <w:t xml:space="preserve">, </w:t>
      </w:r>
      <w:r w:rsidR="67052CF7">
        <w:rPr/>
        <w:t>ymin</w:t>
      </w:r>
      <w:r w:rsidR="67052CF7">
        <w:rPr/>
        <w:t xml:space="preserve">, </w:t>
      </w:r>
      <w:r w:rsidR="67052CF7">
        <w:rPr/>
        <w:t>xmax</w:t>
      </w:r>
      <w:r w:rsidR="67052CF7">
        <w:rPr/>
        <w:t xml:space="preserve">, </w:t>
      </w:r>
      <w:r w:rsidR="67052CF7">
        <w:rPr/>
        <w:t>ymax</w:t>
      </w:r>
      <w:r w:rsidR="67052CF7">
        <w:rPr/>
        <w:t xml:space="preserve"> del </w:t>
      </w:r>
      <w:r w:rsidR="67052CF7">
        <w:rPr/>
        <w:t>BoundingBox</w:t>
      </w:r>
      <w:r w:rsidR="67052CF7">
        <w:rPr/>
        <w:t>), y en formato</w:t>
      </w:r>
      <w:r w:rsidR="67052CF7">
        <w:rPr/>
        <w:t xml:space="preserve"> XML-</w:t>
      </w:r>
      <w:r w:rsidR="67052CF7">
        <w:rPr/>
        <w:t>CVAT (</w:t>
      </w:r>
      <w:r w:rsidR="67052CF7">
        <w:rPr/>
        <w:t>x,y</w:t>
      </w:r>
      <w:r w:rsidR="67052CF7">
        <w:rPr/>
        <w:t xml:space="preserve"> de cada punto del polígono)</w:t>
      </w:r>
      <w:r w:rsidR="67052CF7">
        <w:rPr/>
        <w:t>.</w:t>
      </w:r>
    </w:p>
    <w:p w:rsidR="008F6C4F" w:rsidRDefault="00E14972" w14:paraId="09A21A02" w14:textId="25442AB5">
      <w:pPr>
        <w:numPr>
          <w:ilvl w:val="0"/>
          <w:numId w:val="2"/>
        </w:numPr>
        <w:ind w:hanging="360"/>
        <w:rPr/>
      </w:pPr>
      <w:r w:rsidRPr="67052CF7" w:rsidR="67052CF7">
        <w:rPr>
          <w:b w:val="1"/>
          <w:bCs w:val="1"/>
        </w:rPr>
        <w:t>Estrategia de aseguramiento para la proyección de datos sensibles/personales</w:t>
      </w:r>
      <w:r w:rsidR="67052CF7">
        <w:rPr/>
        <w:t>.</w:t>
      </w:r>
    </w:p>
    <w:p w:rsidR="00BB6780" w:rsidP="00BB6780" w:rsidRDefault="00BB6780" w14:paraId="432726EA" w14:textId="3F045E9F">
      <w:pPr>
        <w:ind w:left="706" w:firstLine="0"/>
      </w:pPr>
      <w:r>
        <w:t>Se elimina</w:t>
      </w:r>
      <w:r w:rsidRPr="00BB6780">
        <w:t xml:space="preserve"> la información contenida en los metadatos de la imagen DICOM, </w:t>
      </w:r>
      <w:r>
        <w:t xml:space="preserve">como </w:t>
      </w:r>
      <w:r w:rsidRPr="00BB6780">
        <w:t>datos sensibles del paciente, médicos e institución (</w:t>
      </w:r>
      <w:proofErr w:type="spellStart"/>
      <w:r w:rsidRPr="00BB6780">
        <w:t>anonimización</w:t>
      </w:r>
      <w:proofErr w:type="spellEnd"/>
      <w:r w:rsidRPr="00BB6780">
        <w:t xml:space="preserve"> de datos)</w:t>
      </w:r>
      <w:r>
        <w:t xml:space="preserve"> antes de la fase del etiquetado</w:t>
      </w:r>
      <w:r w:rsidRPr="00BB6780">
        <w:t>.</w:t>
      </w:r>
      <w:r>
        <w:t xml:space="preserve"> Y las imágenes y etiquetas resultantes se proporcionan en formato PNG que sólo contiene la imagen sin metadatos, y </w:t>
      </w:r>
      <w:proofErr w:type="spellStart"/>
      <w:r>
        <w:t>xml</w:t>
      </w:r>
      <w:proofErr w:type="spellEnd"/>
      <w:r>
        <w:t xml:space="preserve"> que sólo contienen </w:t>
      </w:r>
      <w:r w:rsidR="002F4BE7">
        <w:t>las coordenadas, tipo de cada tumor, y orden en el que se deben visualizar</w:t>
      </w:r>
      <w:r>
        <w:t xml:space="preserve">. </w:t>
      </w:r>
    </w:p>
    <w:p w:rsidR="008F6C4F" w:rsidRDefault="00E14972" w14:paraId="2ACC67F0" w14:textId="47CD0130">
      <w:pPr>
        <w:numPr>
          <w:ilvl w:val="0"/>
          <w:numId w:val="2"/>
        </w:numPr>
        <w:ind w:hanging="360"/>
        <w:rPr/>
      </w:pPr>
      <w:r w:rsidRPr="67052CF7" w:rsidR="67052CF7">
        <w:rPr>
          <w:b w:val="1"/>
          <w:bCs w:val="1"/>
        </w:rPr>
        <w:t>Fecha última de actualización</w:t>
      </w:r>
      <w:r w:rsidR="67052CF7">
        <w:rPr/>
        <w:t xml:space="preserve">. </w:t>
      </w:r>
      <w:r w:rsidR="67052CF7">
        <w:rPr/>
        <w:t>2023</w:t>
      </w:r>
    </w:p>
    <w:p w:rsidRPr="009F76F5" w:rsidR="008F6C4F" w:rsidRDefault="00E14972" w14:paraId="7EBC3847" w14:textId="56BE7F7C">
      <w:pPr>
        <w:numPr>
          <w:ilvl w:val="0"/>
          <w:numId w:val="2"/>
        </w:numPr>
        <w:ind w:hanging="360"/>
        <w:rPr/>
      </w:pPr>
      <w:r w:rsidR="67052CF7">
        <w:rPr/>
        <w:t xml:space="preserve">Mencionar el tipo de </w:t>
      </w:r>
      <w:r w:rsidRPr="67052CF7" w:rsidR="67052CF7">
        <w:rPr>
          <w:b w:val="1"/>
          <w:bCs w:val="1"/>
        </w:rPr>
        <w:t>controles para la validación y</w:t>
      </w:r>
      <w:r w:rsidR="67052CF7">
        <w:rPr/>
        <w:t xml:space="preserve"> </w:t>
      </w:r>
      <w:r w:rsidRPr="67052CF7" w:rsidR="67052CF7">
        <w:rPr>
          <w:b w:val="1"/>
          <w:bCs w:val="1"/>
        </w:rPr>
        <w:t>verificación</w:t>
      </w:r>
      <w:r w:rsidR="67052CF7">
        <w:rPr/>
        <w:t xml:space="preserve"> de la captura/registro de los datos. </w:t>
      </w:r>
      <w:r w:rsidRPr="67052CF7" w:rsidR="67052CF7">
        <w:rPr>
          <w:i w:val="1"/>
          <w:iCs w:val="1"/>
        </w:rPr>
        <w:t>No aplica.</w:t>
      </w:r>
    </w:p>
    <w:p w:rsidR="008F6C4F" w:rsidRDefault="00E14972" w14:paraId="15C7F0AF" w14:textId="1EB372B2">
      <w:pPr>
        <w:numPr>
          <w:ilvl w:val="0"/>
          <w:numId w:val="2"/>
        </w:numPr>
        <w:ind w:hanging="360"/>
        <w:rPr/>
      </w:pPr>
      <w:r w:rsidR="67052CF7">
        <w:rPr/>
        <w:t xml:space="preserve">Otras </w:t>
      </w:r>
      <w:r w:rsidRPr="67052CF7" w:rsidR="67052CF7">
        <w:rPr>
          <w:b w:val="1"/>
          <w:bCs w:val="1"/>
        </w:rPr>
        <w:t>plataformas</w:t>
      </w:r>
      <w:r w:rsidR="67052CF7">
        <w:rPr/>
        <w:t xml:space="preserve"> donde se encuentren disponibles estos recursos de información. Incluir URL. </w:t>
      </w:r>
    </w:p>
    <w:p w:rsidR="67052CF7" w:rsidP="67052CF7" w:rsidRDefault="67052CF7" w14:paraId="49B28BC7" w14:textId="5C1D749A">
      <w:pPr>
        <w:pStyle w:val="Normal"/>
        <w:ind w:left="706" w:firstLine="0"/>
      </w:pPr>
      <w:hyperlink r:id="R7b07100b55f64021">
        <w:r w:rsidRPr="67052CF7" w:rsidR="67052CF7">
          <w:rPr>
            <w:rStyle w:val="Hyperlink"/>
            <w:rFonts w:ascii="Roboto" w:hAnsi="Roboto"/>
          </w:rPr>
          <w:t>https://1drv.ms/u/s!AtMgnjYpElvzg5diSBI09xv-Kyh91A?e=KyZIwv</w:t>
        </w:r>
      </w:hyperlink>
    </w:p>
    <w:p w:rsidR="008F6C4F" w:rsidRDefault="00E14972" w14:paraId="32692AD7" w14:textId="73A99F5F">
      <w:pPr>
        <w:numPr>
          <w:ilvl w:val="0"/>
          <w:numId w:val="2"/>
        </w:numPr>
        <w:ind w:hanging="360"/>
        <w:rPr/>
      </w:pPr>
      <w:r w:rsidR="67052CF7">
        <w:rPr/>
        <w:t xml:space="preserve">Otras fuentes de Financiamiento. </w:t>
      </w:r>
    </w:p>
    <w:p w:rsidRPr="00E37984" w:rsidR="002F4BE7" w:rsidP="005F2F89" w:rsidRDefault="00E37984" w14:paraId="458044BC" w14:textId="7F7181D6">
      <w:pPr>
        <w:ind w:left="706" w:firstLine="0"/>
        <w:rPr>
          <w:i/>
          <w:iCs/>
        </w:rPr>
      </w:pPr>
      <w:r w:rsidRPr="00E37984">
        <w:rPr>
          <w:i/>
          <w:iCs/>
          <w:lang w:val="es"/>
        </w:rPr>
        <w:t>No aplica.</w:t>
      </w:r>
    </w:p>
    <w:p w:rsidR="008F6C4F" w:rsidRDefault="00E14972" w14:paraId="079D359A" w14:textId="0FD5769A">
      <w:pPr>
        <w:numPr>
          <w:ilvl w:val="0"/>
          <w:numId w:val="2"/>
        </w:numPr>
        <w:ind w:hanging="360"/>
        <w:rPr/>
      </w:pPr>
      <w:r w:rsidR="67052CF7">
        <w:rPr/>
        <w:t>Seguimiento de la Cohorte en estudio.</w:t>
      </w:r>
    </w:p>
    <w:p w:rsidRPr="0013094C" w:rsidR="0013094C" w:rsidP="0013094C" w:rsidRDefault="0013094C" w14:paraId="7CAA6657" w14:textId="2897844F">
      <w:pPr>
        <w:ind w:left="706" w:firstLine="0"/>
        <w:rPr>
          <w:i/>
          <w:iCs/>
        </w:rPr>
      </w:pPr>
      <w:r w:rsidRPr="0013094C">
        <w:rPr>
          <w:i/>
          <w:iCs/>
        </w:rPr>
        <w:t>No aplica.</w:t>
      </w:r>
    </w:p>
    <w:p w:rsidR="008F6C4F" w:rsidRDefault="00E14972" w14:paraId="351E10F7" w14:textId="6BBE33F3">
      <w:pPr>
        <w:numPr>
          <w:ilvl w:val="0"/>
          <w:numId w:val="2"/>
        </w:numPr>
        <w:ind w:hanging="360"/>
        <w:rPr/>
      </w:pPr>
      <w:r w:rsidR="67052CF7">
        <w:rPr/>
        <w:t xml:space="preserve">Publicaciones. </w:t>
      </w:r>
    </w:p>
    <w:p w:rsidR="002F4BE7" w:rsidP="002F4BE7" w:rsidRDefault="002F4BE7" w14:paraId="7ADBCF02" w14:textId="697CAD78">
      <w:pPr>
        <w:ind w:left="706" w:firstLine="0"/>
      </w:pPr>
      <w:r w:rsidRPr="002F4BE7">
        <w:t>Miguel Contreras-Murillo, José Luis González- Compeán, “</w:t>
      </w:r>
      <w:proofErr w:type="spellStart"/>
      <w:r w:rsidRPr="002F4BE7">
        <w:t>BigData</w:t>
      </w:r>
      <w:proofErr w:type="spellEnd"/>
      <w:r w:rsidRPr="002F4BE7">
        <w:t xml:space="preserve"> en Salud: Tecnologías Emergentes y Aplicaciones", Montiel &amp; Soriano Editores, S.A. de C.V. ISBN: 978-607-8857-25-8. </w:t>
      </w:r>
      <w:proofErr w:type="spellStart"/>
      <w:r w:rsidRPr="002F4BE7">
        <w:t>Pag.</w:t>
      </w:r>
      <w:proofErr w:type="spellEnd"/>
      <w:r w:rsidRPr="002F4BE7">
        <w:t xml:space="preserve"> 122-138.</w:t>
      </w:r>
    </w:p>
    <w:p w:rsidR="008F6C4F" w:rsidRDefault="00E14972" w14:paraId="5D7D9A29" w14:textId="77777777">
      <w:pPr>
        <w:numPr>
          <w:ilvl w:val="0"/>
          <w:numId w:val="2"/>
        </w:numPr>
        <w:ind w:hanging="360"/>
        <w:rPr/>
      </w:pPr>
      <w:r w:rsidR="67052CF7">
        <w:rPr/>
        <w:t xml:space="preserve">Otros. Cualquier información extra que sea pertinente precisar o agregar.  </w:t>
      </w:r>
    </w:p>
    <w:p w:rsidRPr="0013094C" w:rsidR="0013094C" w:rsidP="0013094C" w:rsidRDefault="0013094C" w14:paraId="52D548A0" w14:textId="7952A602">
      <w:pPr>
        <w:ind w:left="706" w:firstLine="0"/>
      </w:pPr>
      <w:r w:rsidR="67052CF7">
        <w:rPr/>
        <w:t xml:space="preserve">Este software </w:t>
      </w:r>
      <w:r w:rsidR="67052CF7">
        <w:rPr/>
        <w:t>está</w:t>
      </w:r>
      <w:r w:rsidR="67052CF7">
        <w:rPr/>
        <w:t xml:space="preserve"> relacionado con la Base de imágenes de cáncer de hueso largo, la cual ha sido agregada como uno de los productos digitales a la CRIP.</w:t>
      </w:r>
    </w:p>
    <w:p w:rsidRPr="00AA4204" w:rsidR="008F6C4F" w:rsidRDefault="00E14972" w14:paraId="36900D35" w14:textId="77777777">
      <w:pPr>
        <w:spacing w:after="99" w:line="259" w:lineRule="auto"/>
        <w:ind w:left="721" w:firstLine="0"/>
        <w:jc w:val="left"/>
        <w:rPr>
          <w:highlight w:val="yellow"/>
        </w:rPr>
      </w:pPr>
      <w:r w:rsidRPr="00AA4204">
        <w:rPr>
          <w:b/>
          <w:highlight w:val="yellow"/>
        </w:rPr>
        <w:t xml:space="preserve"> </w:t>
      </w:r>
    </w:p>
    <w:p w:rsidR="008F6C4F" w:rsidRDefault="00E14972" w14:paraId="5B841530" w14:textId="6AC7AF03">
      <w:pPr>
        <w:spacing w:after="0" w:line="229" w:lineRule="auto"/>
        <w:ind w:left="0" w:right="8785" w:firstLine="0"/>
        <w:jc w:val="left"/>
      </w:pPr>
      <w:r>
        <w:rPr>
          <w:sz w:val="24"/>
        </w:rPr>
        <w:t xml:space="preserve"> </w:t>
      </w:r>
    </w:p>
    <w:sectPr w:rsidR="008F6C4F">
      <w:pgSz w:w="12240" w:h="15840" w:orient="portrait"/>
      <w:pgMar w:top="1417" w:right="1700" w:bottom="1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B61"/>
    <w:multiLevelType w:val="hybridMultilevel"/>
    <w:tmpl w:val="8752E9AA"/>
    <w:lvl w:ilvl="0" w:tplc="A4140554">
      <w:start w:val="1"/>
      <w:numFmt w:val="decimal"/>
      <w:lvlText w:val="%1."/>
      <w:lvlJc w:val="left"/>
      <w:pPr>
        <w:ind w:left="70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B4665CD8">
      <w:start w:val="1"/>
      <w:numFmt w:val="lowerLetter"/>
      <w:lvlText w:val="%2"/>
      <w:lvlJc w:val="left"/>
      <w:pPr>
        <w:ind w:left="1435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4D229DEE">
      <w:start w:val="1"/>
      <w:numFmt w:val="lowerRoman"/>
      <w:lvlText w:val="%3"/>
      <w:lvlJc w:val="left"/>
      <w:pPr>
        <w:ind w:left="215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55FC3B0E">
      <w:start w:val="1"/>
      <w:numFmt w:val="decimal"/>
      <w:lvlText w:val="%4"/>
      <w:lvlJc w:val="left"/>
      <w:pPr>
        <w:ind w:left="287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D796229C">
      <w:start w:val="1"/>
      <w:numFmt w:val="lowerLetter"/>
      <w:lvlText w:val="%5"/>
      <w:lvlJc w:val="left"/>
      <w:pPr>
        <w:ind w:left="359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12E2B7EC">
      <w:start w:val="1"/>
      <w:numFmt w:val="lowerRoman"/>
      <w:lvlText w:val="%6"/>
      <w:lvlJc w:val="left"/>
      <w:pPr>
        <w:ind w:left="431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4F2EE5E2">
      <w:start w:val="1"/>
      <w:numFmt w:val="decimal"/>
      <w:lvlText w:val="%7"/>
      <w:lvlJc w:val="left"/>
      <w:pPr>
        <w:ind w:left="503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93C0AA24">
      <w:start w:val="1"/>
      <w:numFmt w:val="lowerLetter"/>
      <w:lvlText w:val="%8"/>
      <w:lvlJc w:val="left"/>
      <w:pPr>
        <w:ind w:left="575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9E94118C">
      <w:start w:val="1"/>
      <w:numFmt w:val="lowerRoman"/>
      <w:lvlText w:val="%9"/>
      <w:lvlJc w:val="left"/>
      <w:pPr>
        <w:ind w:left="647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DA31219"/>
    <w:multiLevelType w:val="hybridMultilevel"/>
    <w:tmpl w:val="E8280AC8"/>
    <w:lvl w:ilvl="0" w:tplc="02CC9F28">
      <w:start w:val="1"/>
      <w:numFmt w:val="decimal"/>
      <w:lvlText w:val="%1."/>
      <w:lvlJc w:val="left"/>
      <w:pPr>
        <w:ind w:left="70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67C21F32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44200626">
      <w:start w:val="1"/>
      <w:numFmt w:val="lowerRoman"/>
      <w:lvlText w:val="%3"/>
      <w:lvlJc w:val="left"/>
      <w:pPr>
        <w:ind w:left="216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56186E7C">
      <w:start w:val="1"/>
      <w:numFmt w:val="decimal"/>
      <w:lvlText w:val="%4"/>
      <w:lvlJc w:val="left"/>
      <w:pPr>
        <w:ind w:left="288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FBB2A8C0">
      <w:start w:val="1"/>
      <w:numFmt w:val="lowerLetter"/>
      <w:lvlText w:val="%5"/>
      <w:lvlJc w:val="left"/>
      <w:pPr>
        <w:ind w:left="360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58CE6C34">
      <w:start w:val="1"/>
      <w:numFmt w:val="lowerRoman"/>
      <w:lvlText w:val="%6"/>
      <w:lvlJc w:val="left"/>
      <w:pPr>
        <w:ind w:left="432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89749550">
      <w:start w:val="1"/>
      <w:numFmt w:val="decimal"/>
      <w:lvlText w:val="%7"/>
      <w:lvlJc w:val="left"/>
      <w:pPr>
        <w:ind w:left="504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90687532">
      <w:start w:val="1"/>
      <w:numFmt w:val="lowerLetter"/>
      <w:lvlText w:val="%8"/>
      <w:lvlJc w:val="left"/>
      <w:pPr>
        <w:ind w:left="576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7E70EC2A">
      <w:start w:val="1"/>
      <w:numFmt w:val="lowerRoman"/>
      <w:lvlText w:val="%9"/>
      <w:lvlJc w:val="left"/>
      <w:pPr>
        <w:ind w:left="648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32AC2E02"/>
    <w:multiLevelType w:val="hybridMultilevel"/>
    <w:tmpl w:val="6CE63400"/>
    <w:lvl w:ilvl="0" w:tplc="6AF4B01E">
      <w:start w:val="1"/>
      <w:numFmt w:val="bullet"/>
      <w:lvlText w:val="•"/>
      <w:lvlJc w:val="left"/>
      <w:pPr>
        <w:ind w:left="706"/>
      </w:pPr>
      <w:rPr>
        <w:rFonts w:ascii="Arial" w:hAnsi="Arial" w:eastAsia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1F8BF38">
      <w:start w:val="1"/>
      <w:numFmt w:val="bullet"/>
      <w:lvlText w:val="o"/>
      <w:lvlJc w:val="left"/>
      <w:pPr>
        <w:ind w:left="14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B44C9C4">
      <w:start w:val="1"/>
      <w:numFmt w:val="bullet"/>
      <w:lvlText w:val="▪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A2A0D0A">
      <w:start w:val="1"/>
      <w:numFmt w:val="bullet"/>
      <w:lvlText w:val="•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32EF9BE">
      <w:start w:val="1"/>
      <w:numFmt w:val="bullet"/>
      <w:lvlText w:val="o"/>
      <w:lvlJc w:val="left"/>
      <w:pPr>
        <w:ind w:left="36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C2E040E">
      <w:start w:val="1"/>
      <w:numFmt w:val="bullet"/>
      <w:lvlText w:val="▪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C0A2514">
      <w:start w:val="1"/>
      <w:numFmt w:val="bullet"/>
      <w:lvlText w:val="•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158B82A">
      <w:start w:val="1"/>
      <w:numFmt w:val="bullet"/>
      <w:lvlText w:val="o"/>
      <w:lvlJc w:val="left"/>
      <w:pPr>
        <w:ind w:left="57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3DEAEC2">
      <w:start w:val="1"/>
      <w:numFmt w:val="bullet"/>
      <w:lvlText w:val="▪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932084654">
    <w:abstractNumId w:val="2"/>
  </w:num>
  <w:num w:numId="2" w16cid:durableId="451899557">
    <w:abstractNumId w:val="1"/>
  </w:num>
  <w:num w:numId="3" w16cid:durableId="12696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4F"/>
    <w:rsid w:val="00076513"/>
    <w:rsid w:val="0013094C"/>
    <w:rsid w:val="002D4C42"/>
    <w:rsid w:val="002F4BE7"/>
    <w:rsid w:val="00543890"/>
    <w:rsid w:val="007B2FEC"/>
    <w:rsid w:val="008F6C4F"/>
    <w:rsid w:val="009E32EA"/>
    <w:rsid w:val="009F76F5"/>
    <w:rsid w:val="00AA4204"/>
    <w:rsid w:val="00AF3F0A"/>
    <w:rsid w:val="00B71244"/>
    <w:rsid w:val="00BB6780"/>
    <w:rsid w:val="00DA3340"/>
    <w:rsid w:val="00DE262D"/>
    <w:rsid w:val="00E14972"/>
    <w:rsid w:val="00E37984"/>
    <w:rsid w:val="00F46303"/>
    <w:rsid w:val="00F83CB0"/>
    <w:rsid w:val="6705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560B"/>
  <w15:docId w15:val="{4A94DA0F-4F66-406D-9F96-FEC40512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12" w:line="249" w:lineRule="auto"/>
      <w:ind w:left="731" w:hanging="370"/>
      <w:jc w:val="both"/>
    </w:pPr>
    <w:rPr>
      <w:rFonts w:ascii="Calibri" w:hAnsi="Calibri" w:eastAsia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6"/>
      <w:ind w:left="10" w:hanging="10"/>
      <w:outlineLvl w:val="0"/>
    </w:pPr>
    <w:rPr>
      <w:rFonts w:ascii="Calibri" w:hAnsi="Calibri" w:eastAsia="Calibri" w:cs="Calibri"/>
      <w:b/>
      <w:color w:val="0070C0"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70C0"/>
      <w:sz w:val="21"/>
    </w:rPr>
  </w:style>
  <w:style w:type="paragraph" w:styleId="Default" w:customStyle="1">
    <w:name w:val="Default"/>
    <w:rsid w:val="00F46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4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1drv.ms/u/s!AtMgnjYpElvzg5diSBI09xv-Kyh91A?e=KyZIwv" TargetMode="External" Id="R7b07100b55f6402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 del Carmen Cardenas Gonzalez</dc:creator>
  <keywords/>
  <lastModifiedBy>miguel c</lastModifiedBy>
  <revision>12</revision>
  <dcterms:created xsi:type="dcterms:W3CDTF">2023-02-24T00:03:00.0000000Z</dcterms:created>
  <dcterms:modified xsi:type="dcterms:W3CDTF">2023-02-24T03:53:04.8901665Z</dcterms:modified>
</coreProperties>
</file>