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121D" w14:textId="6D48D12F" w:rsidR="004E498A" w:rsidRPr="00F96883" w:rsidRDefault="004E498A" w:rsidP="00F96883">
      <w:pPr>
        <w:pStyle w:val="Heading1"/>
        <w:rPr>
          <w:rFonts w:ascii="Times New Roman" w:eastAsia="Times New Roman" w:hAnsi="Times New Roman" w:cs="Times New Roman"/>
          <w:lang w:val="es-MX"/>
        </w:rPr>
      </w:pPr>
      <w:r w:rsidRPr="00565751">
        <w:rPr>
          <w:w w:val="90"/>
        </w:rPr>
        <w:t>FICHA TÉCNICA</w:t>
      </w:r>
      <w:r>
        <w:rPr>
          <w:w w:val="90"/>
        </w:rPr>
        <w:t xml:space="preserve"> </w:t>
      </w:r>
      <w:r w:rsidR="00E12335">
        <w:rPr>
          <w:w w:val="90"/>
        </w:rPr>
        <w:t>DE BASE DE DATOS DE CONTAMINANTES</w:t>
      </w:r>
      <w:r w:rsidR="007E2653">
        <w:rPr>
          <w:w w:val="90"/>
        </w:rPr>
        <w:t xml:space="preserve"> </w:t>
      </w:r>
      <w:r w:rsidR="00F96883">
        <w:rPr>
          <w:w w:val="90"/>
        </w:rPr>
        <w:t>–</w:t>
      </w:r>
      <w:r w:rsidR="007E2653">
        <w:rPr>
          <w:w w:val="90"/>
        </w:rPr>
        <w:t xml:space="preserve"> </w:t>
      </w:r>
      <w:r w:rsidR="00F96883">
        <w:t>RAMA, REDMET, MERRA</w:t>
      </w:r>
    </w:p>
    <w:p w14:paraId="3D3A384F" w14:textId="7D8EF222" w:rsidR="004E498A" w:rsidRDefault="004E498A" w:rsidP="004E498A"/>
    <w:p w14:paraId="3043699D" w14:textId="77777777" w:rsidR="004E498A" w:rsidRPr="004E498A" w:rsidRDefault="004E498A" w:rsidP="004E498A">
      <w:pPr>
        <w:pStyle w:val="Heading2"/>
        <w:numPr>
          <w:ilvl w:val="0"/>
          <w:numId w:val="5"/>
        </w:numPr>
        <w:rPr>
          <w:color w:val="44546A" w:themeColor="text2"/>
          <w:sz w:val="21"/>
        </w:rPr>
      </w:pPr>
      <w:r w:rsidRPr="004E498A">
        <w:rPr>
          <w:rStyle w:val="Heading2Char"/>
        </w:rPr>
        <w:t>Objetivo general del proyecto</w:t>
      </w:r>
      <w:r w:rsidRPr="004E498A">
        <w:rPr>
          <w:color w:val="44546A" w:themeColor="text2"/>
          <w:w w:val="95"/>
          <w:sz w:val="21"/>
        </w:rPr>
        <w:t>.</w:t>
      </w:r>
      <w:r w:rsidRPr="004E498A">
        <w:rPr>
          <w:color w:val="44546A" w:themeColor="text2"/>
          <w:spacing w:val="4"/>
          <w:w w:val="95"/>
          <w:sz w:val="21"/>
        </w:rPr>
        <w:t xml:space="preserve"> </w:t>
      </w:r>
    </w:p>
    <w:p w14:paraId="770EAE74" w14:textId="248CD0CD" w:rsidR="004E498A" w:rsidRDefault="004E498A" w:rsidP="004E498A">
      <w:r w:rsidRPr="007B2F3D">
        <w:t>Diseñar y crear una plataforma para coordinar esfuerzos de intercambio seguro de datos de salud y la creación de servicios seguros de analítica de datos sin realizar cambios mayores en los sistemas de expediente Clínico Electrónico (SECE) existentes permitiendo su adecuación al cumplimiento de normas oficiales y considerando los estándares que rigen su implementación. La plataforma se basará en servicios configurables para la gestión, aseguramiento, control de acceso, intercambio y preservación de grandes volúmenes de datos en salud (Big Data) enfocados en avanzar hacia la creación de un SECE único nacional y coadyuvar en la edificación de un repositorio nacional de ejecución segura de servicios de análisis de datos médicos.</w:t>
      </w:r>
    </w:p>
    <w:p w14:paraId="1C89EAEA" w14:textId="77777777" w:rsidR="00F04E5F" w:rsidRDefault="00F04E5F" w:rsidP="004E498A"/>
    <w:p w14:paraId="49330F81" w14:textId="0A1987A2" w:rsidR="004E498A" w:rsidRDefault="004E498A" w:rsidP="004E498A">
      <w:pPr>
        <w:pStyle w:val="Heading2"/>
        <w:numPr>
          <w:ilvl w:val="0"/>
          <w:numId w:val="5"/>
        </w:numPr>
      </w:pPr>
      <w:r w:rsidRPr="004E498A">
        <w:t>Propósito del recurso</w:t>
      </w:r>
    </w:p>
    <w:p w14:paraId="6FEBEE78" w14:textId="6DF342AA" w:rsidR="004E498A" w:rsidRDefault="00DF6BF3" w:rsidP="004E498A">
      <w:r>
        <w:t>Conjunto de datos obtenido con el fin de realizar un análisis exploratorio sobre l</w:t>
      </w:r>
      <w:r w:rsidR="00E12335">
        <w:t>os contaminantes de 1986-2022</w:t>
      </w:r>
      <w:r>
        <w:t>.</w:t>
      </w:r>
      <w:r w:rsidR="00F04E5F">
        <w:t xml:space="preserve"> </w:t>
      </w:r>
      <w:r w:rsidR="00F04E5F" w:rsidRPr="00F04E5F">
        <w:t>El conjunto de datos aquí presentado cuenta con los registros de contaminantes unificados de las bases de datos RAMA (</w:t>
      </w:r>
      <w:hyperlink r:id="rId5" w:history="1">
        <w:r w:rsidR="00F04E5F" w:rsidRPr="00696578">
          <w:rPr>
            <w:rStyle w:val="Hyperlink"/>
          </w:rPr>
          <w:t>http://www.aire.cdmx.gob.mx/default.php?opc=%27aKBh%27</w:t>
        </w:r>
      </w:hyperlink>
      <w:r w:rsidR="00F04E5F" w:rsidRPr="00F04E5F">
        <w:t>), REDMET (</w:t>
      </w:r>
      <w:hyperlink r:id="rId6" w:history="1">
        <w:r w:rsidR="00F04E5F" w:rsidRPr="00696578">
          <w:rPr>
            <w:rStyle w:val="Hyperlink"/>
          </w:rPr>
          <w:t>http://www.aire.cdmx.gob.mx/default.php?opc=%27aKBi%27</w:t>
        </w:r>
      </w:hyperlink>
      <w:r w:rsidR="00F04E5F" w:rsidRPr="00F04E5F">
        <w:t>) y MERRA (</w:t>
      </w:r>
      <w:hyperlink r:id="rId7" w:history="1">
        <w:r w:rsidR="00F04E5F" w:rsidRPr="00696578">
          <w:rPr>
            <w:rStyle w:val="Hyperlink"/>
          </w:rPr>
          <w:t>https://disc.gsfc.nasa.gov/datasets/M2SDNXSLV_5.12.4/summary</w:t>
        </w:r>
      </w:hyperlink>
      <w:r w:rsidR="00F04E5F" w:rsidRPr="00F04E5F">
        <w:t xml:space="preserve">). Estos datos son utilizados para encontrar relaciones entre contaminantes, condiciones climáticas y los casos de defunción por cáncer. Esta base de datos fue adecuada para ser utilizada en aplicaciones de Big Data y análisis de datos para el descubrimiento de nueva información referente al desarrollo de ciertos tipos de cáncer por exposición a los diferentes tipos de contaminantes y condiciones climáticas a través del tiempo. </w:t>
      </w:r>
      <w:bookmarkStart w:id="0" w:name="_Hlk144191536"/>
      <w:r w:rsidR="00F04E5F" w:rsidRPr="00F04E5F">
        <w:t>Cuenta con un total de 58,990 registros y 24 variables. Los valores nulos tienen un valor de -99.</w:t>
      </w:r>
    </w:p>
    <w:bookmarkEnd w:id="0"/>
    <w:p w14:paraId="4CDBCFD4" w14:textId="77777777" w:rsidR="00F04E5F" w:rsidRPr="004E498A" w:rsidRDefault="00F04E5F" w:rsidP="004E498A"/>
    <w:p w14:paraId="648FB056" w14:textId="77777777" w:rsidR="00387FCE" w:rsidRPr="009D1F3C" w:rsidRDefault="00387FCE" w:rsidP="00387FCE">
      <w:pPr>
        <w:pStyle w:val="Heading2"/>
        <w:numPr>
          <w:ilvl w:val="0"/>
          <w:numId w:val="5"/>
        </w:numPr>
      </w:pPr>
      <w:r w:rsidRPr="009D1F3C">
        <w:rPr>
          <w:w w:val="90"/>
        </w:rPr>
        <w:t>Investigador</w:t>
      </w:r>
      <w:r w:rsidRPr="009D1F3C">
        <w:rPr>
          <w:spacing w:val="15"/>
          <w:w w:val="90"/>
        </w:rPr>
        <w:t xml:space="preserve"> </w:t>
      </w:r>
      <w:r w:rsidRPr="009D1F3C">
        <w:rPr>
          <w:w w:val="90"/>
        </w:rPr>
        <w:t>principal</w:t>
      </w:r>
      <w:r w:rsidRPr="009D1F3C">
        <w:rPr>
          <w:spacing w:val="18"/>
          <w:w w:val="90"/>
        </w:rPr>
        <w:t xml:space="preserve"> </w:t>
      </w:r>
      <w:r w:rsidRPr="009D1F3C">
        <w:rPr>
          <w:w w:val="90"/>
        </w:rPr>
        <w:t>a</w:t>
      </w:r>
      <w:r w:rsidRPr="009D1F3C">
        <w:rPr>
          <w:spacing w:val="16"/>
          <w:w w:val="90"/>
        </w:rPr>
        <w:t xml:space="preserve"> </w:t>
      </w:r>
      <w:r w:rsidRPr="009D1F3C">
        <w:rPr>
          <w:w w:val="90"/>
        </w:rPr>
        <w:t>cargo.</w:t>
      </w:r>
    </w:p>
    <w:p w14:paraId="776CB073" w14:textId="7FF417A2" w:rsidR="00387FCE" w:rsidRDefault="00387FCE" w:rsidP="00387FCE">
      <w:pPr>
        <w:rPr>
          <w:w w:val="90"/>
        </w:rPr>
      </w:pPr>
      <w:r>
        <w:rPr>
          <w:w w:val="90"/>
        </w:rPr>
        <w:t>Juan Armando Barrón Lugo</w:t>
      </w:r>
    </w:p>
    <w:p w14:paraId="7C2CC7FE" w14:textId="77777777" w:rsidR="00F04E5F" w:rsidRDefault="00F04E5F" w:rsidP="00387FCE">
      <w:pPr>
        <w:rPr>
          <w:w w:val="90"/>
        </w:rPr>
      </w:pPr>
    </w:p>
    <w:p w14:paraId="523B9863" w14:textId="1DF88382" w:rsidR="00387FCE" w:rsidRDefault="00387FCE" w:rsidP="00387FCE">
      <w:pPr>
        <w:pStyle w:val="Heading2"/>
        <w:numPr>
          <w:ilvl w:val="0"/>
          <w:numId w:val="5"/>
        </w:numPr>
        <w:rPr>
          <w:w w:val="95"/>
        </w:rPr>
      </w:pPr>
      <w:r w:rsidRPr="009D1F3C">
        <w:rPr>
          <w:w w:val="95"/>
        </w:rPr>
        <w:t>Recolección/obtención</w:t>
      </w:r>
      <w:r w:rsidRPr="009D1F3C">
        <w:rPr>
          <w:spacing w:val="19"/>
          <w:w w:val="95"/>
        </w:rPr>
        <w:t xml:space="preserve"> </w:t>
      </w:r>
      <w:r w:rsidRPr="009D1F3C">
        <w:rPr>
          <w:w w:val="95"/>
        </w:rPr>
        <w:t>de</w:t>
      </w:r>
      <w:r w:rsidRPr="009D1F3C">
        <w:rPr>
          <w:spacing w:val="13"/>
          <w:w w:val="95"/>
        </w:rPr>
        <w:t xml:space="preserve"> </w:t>
      </w:r>
      <w:r w:rsidRPr="009D1F3C">
        <w:rPr>
          <w:w w:val="95"/>
        </w:rPr>
        <w:t>los</w:t>
      </w:r>
      <w:r w:rsidRPr="009D1F3C">
        <w:rPr>
          <w:spacing w:val="16"/>
          <w:w w:val="95"/>
        </w:rPr>
        <w:t xml:space="preserve"> </w:t>
      </w:r>
      <w:r w:rsidRPr="009D1F3C">
        <w:rPr>
          <w:w w:val="95"/>
        </w:rPr>
        <w:t>datos</w:t>
      </w:r>
      <w:r>
        <w:rPr>
          <w:w w:val="95"/>
        </w:rPr>
        <w:t>.</w:t>
      </w:r>
    </w:p>
    <w:p w14:paraId="5D11C4A4" w14:textId="6DA0EB6D" w:rsidR="00F96883" w:rsidRDefault="00F96883" w:rsidP="00E12335">
      <w:pPr>
        <w:rPr>
          <w:rStyle w:val="Hyperlink"/>
          <w:lang w:val="es-MX"/>
        </w:rPr>
      </w:pPr>
      <w:r>
        <w:rPr>
          <w:lang w:val="es-MX"/>
        </w:rPr>
        <w:t>El conjunto de datos presentado cuenta con los registros de contaminantes unificados de las bases de datos RAMA (</w:t>
      </w:r>
      <w:hyperlink r:id="rId8" w:history="1">
        <w:r>
          <w:rPr>
            <w:rStyle w:val="Hyperlink"/>
            <w:lang w:val="es-MX"/>
          </w:rPr>
          <w:t>http://www.aire.cdmx.gob.mx/default.php?opc=%27aKBh%27</w:t>
        </w:r>
      </w:hyperlink>
      <w:r>
        <w:rPr>
          <w:lang w:val="es-MX"/>
        </w:rPr>
        <w:t>), REDMET (</w:t>
      </w:r>
      <w:hyperlink r:id="rId9" w:history="1">
        <w:r>
          <w:rPr>
            <w:rStyle w:val="Hyperlink"/>
            <w:lang w:val="es-MX"/>
          </w:rPr>
          <w:t>http://www.aire.cdmx.gob.mx/default.php?opc=%27aKBi%27</w:t>
        </w:r>
      </w:hyperlink>
      <w:r>
        <w:rPr>
          <w:lang w:val="es-MX"/>
        </w:rPr>
        <w:t>) y MERRA (</w:t>
      </w:r>
      <w:hyperlink r:id="rId10" w:history="1">
        <w:r>
          <w:rPr>
            <w:rStyle w:val="Hyperlink"/>
            <w:lang w:val="es-MX"/>
          </w:rPr>
          <w:t>https://disc.gsfc.nasa.gov/datasets/M2SDNXSLV_5.12.4/summary</w:t>
        </w:r>
      </w:hyperlink>
    </w:p>
    <w:p w14:paraId="194CFB6A" w14:textId="77777777" w:rsidR="00F04E5F" w:rsidRPr="00E12335" w:rsidRDefault="00F04E5F" w:rsidP="00E12335"/>
    <w:p w14:paraId="1FF50229" w14:textId="77777777" w:rsidR="00387FCE" w:rsidRPr="009D1F3C" w:rsidRDefault="00387FCE" w:rsidP="00387FCE">
      <w:pPr>
        <w:pStyle w:val="Heading2"/>
        <w:numPr>
          <w:ilvl w:val="0"/>
          <w:numId w:val="5"/>
        </w:numPr>
      </w:pPr>
      <w:r>
        <w:rPr>
          <w:w w:val="95"/>
        </w:rPr>
        <w:t xml:space="preserve">Periodo de recolección/obtención de datos. </w:t>
      </w:r>
    </w:p>
    <w:p w14:paraId="7C49979C" w14:textId="1DAD6DD0" w:rsidR="009C2708" w:rsidRDefault="00DF6BF3" w:rsidP="00387FCE">
      <w:pPr>
        <w:rPr>
          <w:w w:val="95"/>
        </w:rPr>
      </w:pPr>
      <w:r>
        <w:rPr>
          <w:w w:val="95"/>
        </w:rPr>
        <w:t>El periodo de recolección de los datos es de 19</w:t>
      </w:r>
      <w:r w:rsidR="00E12335">
        <w:rPr>
          <w:w w:val="95"/>
        </w:rPr>
        <w:t>86</w:t>
      </w:r>
      <w:r>
        <w:rPr>
          <w:w w:val="95"/>
        </w:rPr>
        <w:t xml:space="preserve"> al 202</w:t>
      </w:r>
      <w:r w:rsidR="00E12335">
        <w:rPr>
          <w:w w:val="95"/>
        </w:rPr>
        <w:t>2</w:t>
      </w:r>
      <w:r>
        <w:rPr>
          <w:w w:val="95"/>
        </w:rPr>
        <w:t>.</w:t>
      </w:r>
    </w:p>
    <w:p w14:paraId="2E863A46" w14:textId="77777777" w:rsidR="00F04E5F" w:rsidRDefault="00F04E5F" w:rsidP="00387FCE">
      <w:pPr>
        <w:rPr>
          <w:w w:val="95"/>
        </w:rPr>
      </w:pPr>
    </w:p>
    <w:p w14:paraId="1A665195" w14:textId="10B03AB0" w:rsidR="00387FCE" w:rsidRDefault="00387FCE" w:rsidP="00387FCE">
      <w:pPr>
        <w:pStyle w:val="Heading2"/>
        <w:numPr>
          <w:ilvl w:val="0"/>
          <w:numId w:val="5"/>
        </w:numPr>
        <w:rPr>
          <w:w w:val="95"/>
        </w:rPr>
      </w:pPr>
      <w:r>
        <w:rPr>
          <w:w w:val="95"/>
        </w:rPr>
        <w:lastRenderedPageBreak/>
        <w:t>Variables Incluidas</w:t>
      </w:r>
    </w:p>
    <w:p w14:paraId="31C97B15" w14:textId="008AB15E" w:rsidR="0074748E" w:rsidRDefault="00F04E5F" w:rsidP="007E2653">
      <w:pPr>
        <w:rPr>
          <w:lang w:val="es-MX"/>
        </w:rPr>
      </w:pPr>
      <w:r w:rsidRPr="00F04E5F">
        <w:rPr>
          <w:lang w:val="es-MX"/>
        </w:rPr>
        <w:t>Cuenta con un total de 58,990 registros y 24 variables. Los valores nulos tienen un valor de -99.</w:t>
      </w:r>
      <w:r>
        <w:rPr>
          <w:lang w:val="es-MX"/>
        </w:rPr>
        <w:t xml:space="preserve"> </w:t>
      </w:r>
      <w:r w:rsidRPr="00F04E5F">
        <w:rPr>
          <w:lang w:val="es-MX"/>
        </w:rPr>
        <w:t>Las variables se describen a continuación:</w:t>
      </w:r>
    </w:p>
    <w:p w14:paraId="4FA8AE20" w14:textId="77777777" w:rsidR="00F04E5F" w:rsidRPr="00EC347E" w:rsidRDefault="00F04E5F" w:rsidP="007E2653">
      <w:pPr>
        <w:rPr>
          <w:lang w:val="es-MX"/>
        </w:rPr>
      </w:pPr>
    </w:p>
    <w:p w14:paraId="0EC738C3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CO: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Partes por millón de monóxido de carbono (ppm).</w:t>
      </w:r>
    </w:p>
    <w:p w14:paraId="0BD94AD6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 xml:space="preserve">FECHA: 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Fecha de monitoreo (día/mes/año).</w:t>
      </w:r>
    </w:p>
    <w:p w14:paraId="2A18BDD9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 xml:space="preserve">HOURNORAIN: 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Horas sin lluvia.</w:t>
      </w:r>
    </w:p>
    <w:p w14:paraId="1237F9F6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NO: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Partes por billón de monóxido de nitrógeno (</w:t>
      </w:r>
      <w:proofErr w:type="spellStart"/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ppb</w:t>
      </w:r>
      <w:proofErr w:type="spellEnd"/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).</w:t>
      </w:r>
    </w:p>
    <w:p w14:paraId="087D1AD4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NO2: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Partes por billón de dióxido de nitrógeno (</w:t>
      </w:r>
      <w:proofErr w:type="spellStart"/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ppb</w:t>
      </w:r>
      <w:proofErr w:type="spellEnd"/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).</w:t>
      </w:r>
    </w:p>
    <w:p w14:paraId="427ADCEE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NOX: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Partes por billón de óxidos de nitrógeno (</w:t>
      </w:r>
      <w:proofErr w:type="spellStart"/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ppb</w:t>
      </w:r>
      <w:proofErr w:type="spellEnd"/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).</w:t>
      </w:r>
    </w:p>
    <w:p w14:paraId="7E7A6CDA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O3: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Partes por billón de ozono (</w:t>
      </w:r>
      <w:proofErr w:type="spellStart"/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ppb</w:t>
      </w:r>
      <w:proofErr w:type="spellEnd"/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).</w:t>
      </w:r>
    </w:p>
    <w:p w14:paraId="39AED198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PM10: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Partículas menores a 10 micrómetros en </w:t>
      </w:r>
      <m:oMath>
        <m:f>
          <m:fPr>
            <m:ctrlPr>
              <w:rPr>
                <w:rFonts w:ascii="Cambria Math" w:eastAsiaTheme="minorHAnsi" w:hAnsi="Cambria Math" w:cstheme="minorBidi"/>
                <w:kern w:val="2"/>
                <w:lang w:val="es-MX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theme="minorBidi"/>
                <w:kern w:val="2"/>
                <w:lang w:val="es-MX"/>
                <w14:ligatures w14:val="standardContextual"/>
              </w:rPr>
              <m:t>μ</m:t>
            </m:r>
            <m:r>
              <w:rPr>
                <w:rFonts w:ascii="Cambria Math" w:eastAsiaTheme="minorHAnsi" w:hAnsi="Cambria Math" w:cstheme="minorBidi"/>
                <w:kern w:val="2"/>
                <w:lang w:val="es-MX"/>
                <w14:ligatures w14:val="standardContextual"/>
              </w:rPr>
              <m:t>g</m:t>
            </m:r>
            <m:ctrlPr>
              <w:rPr>
                <w:rFonts w:ascii="Cambria Math" w:eastAsiaTheme="minorHAnsi" w:hAnsi="Cambria Math" w:cstheme="minorBidi"/>
                <w:i/>
                <w:kern w:val="2"/>
                <w:lang w:val="es-MX"/>
                <w14:ligatures w14:val="standardContextual"/>
              </w:rPr>
            </m:ctrlPr>
          </m:num>
          <m:den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kern w:val="2"/>
                    <w:lang w:val="es-MX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kern w:val="2"/>
                    <w:lang w:val="es-MX"/>
                    <w14:ligatures w14:val="standardContextual"/>
                  </w:rPr>
                  <m:t>m</m:t>
                </m:r>
              </m:e>
              <m:sup>
                <m:r>
                  <w:rPr>
                    <w:rFonts w:ascii="Cambria Math" w:eastAsiaTheme="minorHAnsi" w:hAnsi="Cambria Math" w:cstheme="minorBidi"/>
                    <w:kern w:val="2"/>
                    <w:lang w:val="es-MX"/>
                    <w14:ligatures w14:val="standardContextual"/>
                  </w:rPr>
                  <m:t>3</m:t>
                </m:r>
              </m:sup>
            </m:sSup>
            <m:ctrlPr>
              <w:rPr>
                <w:rFonts w:ascii="Cambria Math" w:eastAsiaTheme="minorHAnsi" w:hAnsi="Cambria Math" w:cstheme="minorBidi"/>
                <w:i/>
                <w:kern w:val="2"/>
                <w:lang w:val="es-MX"/>
                <w14:ligatures w14:val="standardContextual"/>
              </w:rPr>
            </m:ctrlPr>
          </m:den>
        </m:f>
      </m:oMath>
    </w:p>
    <w:p w14:paraId="02AB8B5D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PM25: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Partículas menores a 2.5 micrómetros en </w:t>
      </w:r>
      <m:oMath>
        <m:f>
          <m:fPr>
            <m:ctrlPr>
              <w:rPr>
                <w:rFonts w:ascii="Cambria Math" w:eastAsiaTheme="minorHAnsi" w:hAnsi="Cambria Math" w:cstheme="minorBidi"/>
                <w:kern w:val="2"/>
                <w:lang w:val="es-MX"/>
                <w14:ligatures w14:val="standardContextual"/>
              </w:rPr>
            </m:ctrlPr>
          </m:fPr>
          <m:num>
            <m:r>
              <w:rPr>
                <w:rFonts w:ascii="Cambria Math" w:eastAsiaTheme="minorHAnsi" w:hAnsi="Cambria Math" w:cstheme="minorBidi"/>
                <w:kern w:val="2"/>
                <w:lang w:val="es-MX"/>
                <w14:ligatures w14:val="standardContextual"/>
              </w:rPr>
              <m:t>μg</m:t>
            </m:r>
            <m:ctrlPr>
              <w:rPr>
                <w:rFonts w:ascii="Cambria Math" w:eastAsiaTheme="minorHAnsi" w:hAnsi="Cambria Math" w:cstheme="minorBidi"/>
                <w:i/>
                <w:kern w:val="2"/>
                <w:lang w:val="es-MX"/>
                <w14:ligatures w14:val="standardContextual"/>
              </w:rPr>
            </m:ctrlPr>
          </m:num>
          <m:den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kern w:val="2"/>
                    <w:lang w:val="es-MX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kern w:val="2"/>
                    <w:lang w:val="es-MX"/>
                    <w14:ligatures w14:val="standardContextual"/>
                  </w:rPr>
                  <m:t>m</m:t>
                </m:r>
              </m:e>
              <m:sup>
                <m:r>
                  <w:rPr>
                    <w:rFonts w:ascii="Cambria Math" w:eastAsiaTheme="minorHAnsi" w:hAnsi="Cambria Math" w:cstheme="minorBidi"/>
                    <w:kern w:val="2"/>
                    <w:lang w:val="es-MX"/>
                    <w14:ligatures w14:val="standardContextual"/>
                  </w:rPr>
                  <m:t>3</m:t>
                </m:r>
              </m:sup>
            </m:sSup>
            <m:ctrlPr>
              <w:rPr>
                <w:rFonts w:ascii="Cambria Math" w:eastAsiaTheme="minorHAnsi" w:hAnsi="Cambria Math" w:cstheme="minorBidi"/>
                <w:i/>
                <w:kern w:val="2"/>
                <w:lang w:val="es-MX"/>
                <w14:ligatures w14:val="standardContextual"/>
              </w:rPr>
            </m:ctrlPr>
          </m:den>
        </m:f>
      </m:oMath>
    </w:p>
    <w:p w14:paraId="0A0E2BC8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PMCO: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Partículas fracción gruesa o “</w:t>
      </w:r>
      <w:proofErr w:type="spellStart"/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coarse</w:t>
      </w:r>
      <w:proofErr w:type="spellEnd"/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” (PM10-2.5) en </w:t>
      </w:r>
      <m:oMath>
        <m:f>
          <m:fPr>
            <m:ctrlPr>
              <w:rPr>
                <w:rFonts w:ascii="Cambria Math" w:eastAsiaTheme="minorHAnsi" w:hAnsi="Cambria Math" w:cstheme="minorBidi"/>
                <w:kern w:val="2"/>
                <w:lang w:val="es-MX"/>
                <w14:ligatures w14:val="standardContextual"/>
              </w:rPr>
            </m:ctrlPr>
          </m:fPr>
          <m:num>
            <m:r>
              <w:rPr>
                <w:rFonts w:ascii="Cambria Math" w:eastAsiaTheme="minorHAnsi" w:hAnsi="Cambria Math" w:cstheme="minorBidi"/>
                <w:kern w:val="2"/>
                <w:lang w:val="es-MX"/>
                <w14:ligatures w14:val="standardContextual"/>
              </w:rPr>
              <m:t>μg</m:t>
            </m:r>
            <m:ctrlPr>
              <w:rPr>
                <w:rFonts w:ascii="Cambria Math" w:eastAsiaTheme="minorHAnsi" w:hAnsi="Cambria Math" w:cstheme="minorBidi"/>
                <w:i/>
                <w:kern w:val="2"/>
                <w:lang w:val="es-MX"/>
                <w14:ligatures w14:val="standardContextual"/>
              </w:rPr>
            </m:ctrlPr>
          </m:num>
          <m:den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kern w:val="2"/>
                    <w:lang w:val="es-MX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kern w:val="2"/>
                    <w:lang w:val="es-MX"/>
                    <w14:ligatures w14:val="standardContextual"/>
                  </w:rPr>
                  <m:t>m</m:t>
                </m:r>
              </m:e>
              <m:sup>
                <m:r>
                  <w:rPr>
                    <w:rFonts w:ascii="Cambria Math" w:eastAsiaTheme="minorHAnsi" w:hAnsi="Cambria Math" w:cstheme="minorBidi"/>
                    <w:kern w:val="2"/>
                    <w:lang w:val="es-MX"/>
                    <w14:ligatures w14:val="standardContextual"/>
                  </w:rPr>
                  <m:t>3</m:t>
                </m:r>
              </m:sup>
            </m:sSup>
            <m:ctrlPr>
              <w:rPr>
                <w:rFonts w:ascii="Cambria Math" w:eastAsiaTheme="minorHAnsi" w:hAnsi="Cambria Math" w:cstheme="minorBidi"/>
                <w:i/>
                <w:kern w:val="2"/>
                <w:lang w:val="es-MX"/>
                <w14:ligatures w14:val="standardContextual"/>
              </w:rPr>
            </m:ctrlPr>
          </m:den>
        </m:f>
      </m:oMath>
    </w:p>
    <w:p w14:paraId="5CB24597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 xml:space="preserve">RH: 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Humedad Relativa.</w:t>
      </w:r>
    </w:p>
    <w:p w14:paraId="3E248996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SO2: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Partes por billón de dióxido de azufre (</w:t>
      </w:r>
      <w:proofErr w:type="spellStart"/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ppb</w:t>
      </w:r>
      <w:proofErr w:type="spellEnd"/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).</w:t>
      </w:r>
    </w:p>
    <w:p w14:paraId="1ABF24F3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</w:pPr>
      <w:proofErr w:type="spellStart"/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Station_code</w:t>
      </w:r>
      <w:proofErr w:type="spellEnd"/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: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Código de estación de monitoreo.</w:t>
      </w:r>
    </w:p>
    <w:p w14:paraId="31F92F82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 xml:space="preserve">T2MMAX: 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Temperatura máxima (MERRA).</w:t>
      </w:r>
    </w:p>
    <w:p w14:paraId="3FA04EAA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T2MMEAN: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Temperatura media (MERRA).</w:t>
      </w:r>
    </w:p>
    <w:p w14:paraId="03F6B1B1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 xml:space="preserve">T2MMIN: 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Temperatura mínima (MERRA).</w:t>
      </w:r>
    </w:p>
    <w:p w14:paraId="2A0B964A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 xml:space="preserve">TMP: 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Temperatura en </w:t>
      </w:r>
      <w:proofErr w:type="spellStart"/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C°</w:t>
      </w:r>
      <w:proofErr w:type="spellEnd"/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.</w:t>
      </w:r>
    </w:p>
    <w:p w14:paraId="19915732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EastAsia" w:hAnsiTheme="minorHAnsi" w:cstheme="minorBidi"/>
          <w:b/>
          <w:bCs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 xml:space="preserve">TPRECMAX: 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Total de precipitación máxima en </w:t>
      </w:r>
      <m:oMath>
        <m:sSup>
          <m:sSupPr>
            <m:ctrlPr>
              <w:rPr>
                <w:rFonts w:ascii="Cambria Math" w:eastAsiaTheme="minorHAnsi" w:hAnsi="Cambria Math" w:cstheme="minorBidi"/>
                <w:kern w:val="2"/>
                <w:lang w:val="es-MX"/>
                <w14:ligatures w14:val="standardContextual"/>
              </w:rPr>
            </m:ctrlPr>
          </m:sSupPr>
          <m:e>
            <m:r>
              <w:rPr>
                <w:rFonts w:ascii="Cambria Math" w:eastAsiaTheme="minorHAnsi" w:hAnsi="Cambria Math" w:cstheme="minorBidi"/>
                <w:kern w:val="2"/>
                <w:lang w:val="es-MX"/>
                <w14:ligatures w14:val="standardContextual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HAnsi" w:hAnsi="Cambria Math" w:cstheme="minorBidi"/>
                <w:kern w:val="2"/>
                <w:lang w:val="es-MX"/>
                <w14:ligatures w14:val="standardContextual"/>
              </w:rPr>
              <m:t>3</m:t>
            </m:r>
          </m:sup>
        </m:sSup>
      </m:oMath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.</w:t>
      </w:r>
    </w:p>
    <w:p w14:paraId="77CAE97C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 xml:space="preserve">WDR: 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Dirección del viento</w:t>
      </w:r>
    </w:p>
    <w:p w14:paraId="3E6C2F76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 xml:space="preserve">WSP: 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Velocidad del viento.</w:t>
      </w:r>
    </w:p>
    <w:p w14:paraId="57658D9E" w14:textId="77777777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 xml:space="preserve">latitud: 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>Latitud geográfica del registro.</w:t>
      </w:r>
    </w:p>
    <w:p w14:paraId="24837CCA" w14:textId="77777777" w:rsid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</w:pPr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longitud: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Longitud geográfica del registro.</w:t>
      </w:r>
    </w:p>
    <w:p w14:paraId="0A339460" w14:textId="47124F92" w:rsidR="00F04E5F" w:rsidRPr="00F04E5F" w:rsidRDefault="00F04E5F" w:rsidP="00F04E5F">
      <w:pPr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</w:pPr>
      <w:proofErr w:type="spellStart"/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stations</w:t>
      </w:r>
      <w:proofErr w:type="spellEnd"/>
      <w:r w:rsidRPr="00F04E5F"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  <w:t>:</w:t>
      </w:r>
      <w:r w:rsidRPr="00F04E5F">
        <w:rPr>
          <w:rFonts w:asciiTheme="minorHAnsi" w:eastAsiaTheme="minorHAnsi" w:hAnsiTheme="minorHAnsi" w:cstheme="minorBidi"/>
          <w:kern w:val="2"/>
          <w:lang w:val="es-MX"/>
          <w14:ligatures w14:val="standardContextual"/>
        </w:rPr>
        <w:t xml:space="preserve"> Estación de monitoreo</w:t>
      </w:r>
    </w:p>
    <w:p w14:paraId="21C03FC7" w14:textId="77777777" w:rsidR="00F04E5F" w:rsidRPr="00F04E5F" w:rsidRDefault="00F04E5F" w:rsidP="00F04E5F">
      <w:pPr>
        <w:widowControl/>
        <w:autoSpaceDE/>
        <w:autoSpaceDN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b/>
          <w:bCs/>
          <w:kern w:val="2"/>
          <w:lang w:val="es-MX"/>
          <w14:ligatures w14:val="standardContextual"/>
        </w:rPr>
      </w:pPr>
    </w:p>
    <w:p w14:paraId="54E5DB7C" w14:textId="6CB42326" w:rsidR="00387FCE" w:rsidRDefault="00387FCE" w:rsidP="00F96883">
      <w:pPr>
        <w:pStyle w:val="Heading2"/>
        <w:numPr>
          <w:ilvl w:val="0"/>
          <w:numId w:val="5"/>
        </w:numPr>
      </w:pPr>
      <w:r w:rsidRPr="00387FCE">
        <w:rPr>
          <w:w w:val="90"/>
        </w:rPr>
        <w:t>Estrategia</w:t>
      </w:r>
      <w:r w:rsidRPr="00387FCE">
        <w:rPr>
          <w:spacing w:val="31"/>
          <w:w w:val="90"/>
        </w:rPr>
        <w:t xml:space="preserve"> </w:t>
      </w:r>
      <w:r w:rsidRPr="00387FCE">
        <w:rPr>
          <w:w w:val="90"/>
        </w:rPr>
        <w:t>de</w:t>
      </w:r>
      <w:r w:rsidRPr="00387FCE">
        <w:rPr>
          <w:spacing w:val="34"/>
          <w:w w:val="90"/>
        </w:rPr>
        <w:t xml:space="preserve"> </w:t>
      </w:r>
      <w:r w:rsidRPr="00387FCE">
        <w:rPr>
          <w:w w:val="90"/>
        </w:rPr>
        <w:t>aseguramiento</w:t>
      </w:r>
      <w:r w:rsidRPr="00387FCE">
        <w:rPr>
          <w:spacing w:val="34"/>
          <w:w w:val="90"/>
        </w:rPr>
        <w:t xml:space="preserve"> </w:t>
      </w:r>
      <w:r w:rsidRPr="00387FCE">
        <w:rPr>
          <w:w w:val="90"/>
        </w:rPr>
        <w:t>para</w:t>
      </w:r>
      <w:r w:rsidRPr="00387FCE">
        <w:rPr>
          <w:spacing w:val="24"/>
          <w:w w:val="90"/>
        </w:rPr>
        <w:t xml:space="preserve"> </w:t>
      </w:r>
      <w:r w:rsidRPr="00387FCE">
        <w:rPr>
          <w:w w:val="90"/>
        </w:rPr>
        <w:t>la</w:t>
      </w:r>
      <w:r w:rsidRPr="00387FCE">
        <w:rPr>
          <w:spacing w:val="31"/>
          <w:w w:val="90"/>
        </w:rPr>
        <w:t xml:space="preserve"> </w:t>
      </w:r>
      <w:r w:rsidRPr="00387FCE">
        <w:rPr>
          <w:w w:val="90"/>
        </w:rPr>
        <w:t>proyección</w:t>
      </w:r>
      <w:r w:rsidRPr="00387FCE">
        <w:rPr>
          <w:spacing w:val="31"/>
          <w:w w:val="90"/>
        </w:rPr>
        <w:t xml:space="preserve"> </w:t>
      </w:r>
      <w:r w:rsidRPr="00387FCE">
        <w:rPr>
          <w:w w:val="90"/>
        </w:rPr>
        <w:t>de</w:t>
      </w:r>
      <w:r w:rsidRPr="00387FCE">
        <w:rPr>
          <w:spacing w:val="35"/>
          <w:w w:val="90"/>
        </w:rPr>
        <w:t xml:space="preserve"> </w:t>
      </w:r>
      <w:r w:rsidRPr="00387FCE">
        <w:rPr>
          <w:w w:val="90"/>
        </w:rPr>
        <w:t>datos</w:t>
      </w:r>
      <w:r w:rsidRPr="00387FCE">
        <w:rPr>
          <w:spacing w:val="-62"/>
          <w:w w:val="90"/>
        </w:rPr>
        <w:t xml:space="preserve"> </w:t>
      </w:r>
      <w:r w:rsidR="0074748E">
        <w:rPr>
          <w:spacing w:val="-62"/>
          <w:w w:val="90"/>
        </w:rPr>
        <w:t xml:space="preserve"> </w:t>
      </w:r>
      <w:r w:rsidR="007E2653">
        <w:rPr>
          <w:spacing w:val="-62"/>
          <w:w w:val="90"/>
        </w:rPr>
        <w:t xml:space="preserve">  </w:t>
      </w:r>
      <w:r w:rsidRPr="00387FCE">
        <w:t>sensibles/personales.</w:t>
      </w:r>
    </w:p>
    <w:p w14:paraId="679D8D47" w14:textId="4BAB4BC5" w:rsidR="00387FCE" w:rsidRDefault="0074748E" w:rsidP="00387FCE">
      <w:r>
        <w:t>No aplica debido a que los registros son abiertos y no cuentan con datos personales.</w:t>
      </w:r>
    </w:p>
    <w:p w14:paraId="3C7DF4D2" w14:textId="77777777" w:rsidR="00F04E5F" w:rsidRPr="00387FCE" w:rsidRDefault="00F04E5F" w:rsidP="00387FCE"/>
    <w:p w14:paraId="53C82AE2" w14:textId="0E916308" w:rsidR="00387FCE" w:rsidRDefault="00387FCE" w:rsidP="00387FCE">
      <w:pPr>
        <w:pStyle w:val="Heading2"/>
        <w:numPr>
          <w:ilvl w:val="0"/>
          <w:numId w:val="5"/>
        </w:numPr>
      </w:pPr>
      <w:r>
        <w:t>Fecha última de actualización.</w:t>
      </w:r>
    </w:p>
    <w:p w14:paraId="2AC1280A" w14:textId="7797058F" w:rsidR="00387FCE" w:rsidRDefault="00387FCE" w:rsidP="00387FCE">
      <w:pPr>
        <w:rPr>
          <w:sz w:val="21"/>
        </w:rPr>
      </w:pPr>
      <w:r w:rsidRPr="009D1F3C">
        <w:t xml:space="preserve">Ultima fecha de actualización </w:t>
      </w:r>
      <w:r w:rsidR="007E2653">
        <w:t>fue en 2022</w:t>
      </w:r>
      <w:r w:rsidRPr="00387FCE">
        <w:rPr>
          <w:sz w:val="21"/>
        </w:rPr>
        <w:t>.</w:t>
      </w:r>
    </w:p>
    <w:p w14:paraId="14F5F1F5" w14:textId="77777777" w:rsidR="00F04E5F" w:rsidRDefault="00F04E5F" w:rsidP="00387FCE">
      <w:pPr>
        <w:rPr>
          <w:sz w:val="21"/>
        </w:rPr>
      </w:pPr>
    </w:p>
    <w:p w14:paraId="7113F071" w14:textId="052452D4" w:rsidR="00387FCE" w:rsidRDefault="00387FCE" w:rsidP="001A50B8">
      <w:pPr>
        <w:pStyle w:val="Heading2"/>
        <w:numPr>
          <w:ilvl w:val="0"/>
          <w:numId w:val="5"/>
        </w:numPr>
        <w:rPr>
          <w:w w:val="95"/>
        </w:rPr>
      </w:pPr>
      <w:r>
        <w:rPr>
          <w:w w:val="95"/>
        </w:rPr>
        <w:t xml:space="preserve">Mencionar el tipo de </w:t>
      </w:r>
      <w:r>
        <w:rPr>
          <w:b/>
          <w:w w:val="95"/>
        </w:rPr>
        <w:t xml:space="preserve">controles para la validación y verificación </w:t>
      </w:r>
      <w:r>
        <w:rPr>
          <w:w w:val="95"/>
        </w:rPr>
        <w:t>de la</w:t>
      </w:r>
      <w:r>
        <w:rPr>
          <w:spacing w:val="-68"/>
          <w:w w:val="95"/>
        </w:rPr>
        <w:t xml:space="preserve"> </w:t>
      </w:r>
      <w:r w:rsidR="0074748E">
        <w:rPr>
          <w:spacing w:val="-68"/>
          <w:w w:val="95"/>
        </w:rPr>
        <w:t xml:space="preserve">       </w:t>
      </w:r>
      <w:r>
        <w:rPr>
          <w:w w:val="95"/>
        </w:rPr>
        <w:t>captura/registro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los</w:t>
      </w:r>
      <w:r>
        <w:rPr>
          <w:spacing w:val="-12"/>
          <w:w w:val="95"/>
        </w:rPr>
        <w:t xml:space="preserve"> </w:t>
      </w:r>
      <w:r>
        <w:rPr>
          <w:w w:val="95"/>
        </w:rPr>
        <w:t>datos.</w:t>
      </w:r>
    </w:p>
    <w:p w14:paraId="17D13F1D" w14:textId="04FD9C18" w:rsidR="001A50B8" w:rsidRDefault="00500838" w:rsidP="001A50B8">
      <w:r>
        <w:t>No aplica.</w:t>
      </w:r>
    </w:p>
    <w:p w14:paraId="2BD858B3" w14:textId="77777777" w:rsidR="00F04E5F" w:rsidRPr="001A50B8" w:rsidRDefault="00F04E5F" w:rsidP="001A50B8"/>
    <w:p w14:paraId="24FC0747" w14:textId="6E3374D9" w:rsidR="00387FCE" w:rsidRDefault="00387FCE" w:rsidP="001A50B8">
      <w:pPr>
        <w:pStyle w:val="Heading2"/>
        <w:numPr>
          <w:ilvl w:val="0"/>
          <w:numId w:val="5"/>
        </w:numPr>
        <w:rPr>
          <w:spacing w:val="-1"/>
        </w:rPr>
      </w:pPr>
      <w:r>
        <w:t>Otras</w:t>
      </w:r>
      <w:r w:rsidRPr="001A50B8">
        <w:rPr>
          <w:spacing w:val="-15"/>
        </w:rPr>
        <w:t xml:space="preserve"> </w:t>
      </w:r>
      <w:r w:rsidRPr="001A50B8">
        <w:rPr>
          <w:b/>
        </w:rPr>
        <w:t>plataformas</w:t>
      </w:r>
      <w:r w:rsidRPr="001A50B8">
        <w:rPr>
          <w:b/>
          <w:spacing w:val="-16"/>
        </w:rPr>
        <w:t xml:space="preserve"> </w:t>
      </w:r>
      <w:r>
        <w:t>donde</w:t>
      </w:r>
      <w:r w:rsidRPr="001A50B8">
        <w:rPr>
          <w:spacing w:val="-19"/>
        </w:rPr>
        <w:t xml:space="preserve"> </w:t>
      </w:r>
      <w:r>
        <w:t>se</w:t>
      </w:r>
      <w:r w:rsidRPr="001A50B8">
        <w:rPr>
          <w:spacing w:val="-20"/>
        </w:rPr>
        <w:t xml:space="preserve"> </w:t>
      </w:r>
      <w:r>
        <w:t>encuentren</w:t>
      </w:r>
      <w:r w:rsidRPr="001A50B8">
        <w:rPr>
          <w:spacing w:val="-19"/>
        </w:rPr>
        <w:t xml:space="preserve"> </w:t>
      </w:r>
      <w:r>
        <w:t>disponibles</w:t>
      </w:r>
      <w:r w:rsidRPr="001A50B8">
        <w:rPr>
          <w:spacing w:val="-11"/>
        </w:rPr>
        <w:t xml:space="preserve"> </w:t>
      </w:r>
      <w:r>
        <w:t>estos</w:t>
      </w:r>
      <w:r w:rsidRPr="001A50B8">
        <w:rPr>
          <w:spacing w:val="-15"/>
        </w:rPr>
        <w:t xml:space="preserve"> </w:t>
      </w:r>
      <w:r>
        <w:t>recursos</w:t>
      </w:r>
      <w:r w:rsidRPr="001A50B8">
        <w:rPr>
          <w:spacing w:val="-21"/>
        </w:rPr>
        <w:t xml:space="preserve"> </w:t>
      </w:r>
      <w:r>
        <w:t>de</w:t>
      </w:r>
      <w:r w:rsidRPr="001A50B8">
        <w:rPr>
          <w:spacing w:val="-71"/>
        </w:rPr>
        <w:t xml:space="preserve"> </w:t>
      </w:r>
      <w:r w:rsidRPr="001A50B8">
        <w:rPr>
          <w:spacing w:val="-1"/>
        </w:rPr>
        <w:t>información.</w:t>
      </w:r>
      <w:r w:rsidRPr="001A50B8">
        <w:rPr>
          <w:spacing w:val="-19"/>
        </w:rPr>
        <w:t xml:space="preserve"> </w:t>
      </w:r>
      <w:r w:rsidRPr="001A50B8">
        <w:rPr>
          <w:spacing w:val="-1"/>
        </w:rPr>
        <w:t>Incluir</w:t>
      </w:r>
      <w:r w:rsidRPr="001A50B8">
        <w:rPr>
          <w:spacing w:val="-19"/>
        </w:rPr>
        <w:t xml:space="preserve"> </w:t>
      </w:r>
      <w:r w:rsidRPr="001A50B8">
        <w:rPr>
          <w:spacing w:val="-1"/>
        </w:rPr>
        <w:t>URL.</w:t>
      </w:r>
    </w:p>
    <w:p w14:paraId="01BC2BF6" w14:textId="77777777" w:rsidR="00E93CED" w:rsidRDefault="00E93CED" w:rsidP="00E93CED">
      <w:r>
        <w:t>Carpeta compartida:</w:t>
      </w:r>
    </w:p>
    <w:p w14:paraId="0FADED90" w14:textId="591C77CA" w:rsidR="0074748E" w:rsidRDefault="00000000" w:rsidP="0074748E">
      <w:pPr>
        <w:rPr>
          <w:rStyle w:val="Hyperlink"/>
        </w:rPr>
      </w:pPr>
      <w:hyperlink r:id="rId11" w:history="1">
        <w:r w:rsidR="00E93CED" w:rsidRPr="00AE001F">
          <w:rPr>
            <w:rStyle w:val="Hyperlink"/>
          </w:rPr>
          <w:t>https://1drv.ms/u/s!AtMgnjYpElvzg5dmjBS-3RFcSb9i4Q?e=5ynUIh</w:t>
        </w:r>
      </w:hyperlink>
    </w:p>
    <w:p w14:paraId="255A1F59" w14:textId="77777777" w:rsidR="00F04E5F" w:rsidRDefault="00F04E5F" w:rsidP="0074748E"/>
    <w:p w14:paraId="2F25355E" w14:textId="5D8A409E" w:rsidR="001A50B8" w:rsidRDefault="001A50B8" w:rsidP="001A50B8">
      <w:pPr>
        <w:pStyle w:val="Heading2"/>
        <w:numPr>
          <w:ilvl w:val="0"/>
          <w:numId w:val="5"/>
        </w:numPr>
      </w:pPr>
      <w:r>
        <w:t>Otras</w:t>
      </w:r>
      <w:r>
        <w:rPr>
          <w:spacing w:val="-7"/>
        </w:rPr>
        <w:t xml:space="preserve"> </w:t>
      </w:r>
      <w:r>
        <w:t>fuentes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Financiamiento.</w:t>
      </w:r>
    </w:p>
    <w:p w14:paraId="417D3615" w14:textId="77777777" w:rsidR="001A50B8" w:rsidRDefault="001A50B8" w:rsidP="001A50B8">
      <w:r>
        <w:t>No aplica.</w:t>
      </w:r>
    </w:p>
    <w:p w14:paraId="4ECA70CD" w14:textId="77777777" w:rsidR="00F04E5F" w:rsidRDefault="00F04E5F" w:rsidP="001A50B8"/>
    <w:p w14:paraId="7B90A2C9" w14:textId="77777777" w:rsidR="001A50B8" w:rsidRDefault="001A50B8" w:rsidP="001A50B8">
      <w:pPr>
        <w:pStyle w:val="Heading2"/>
        <w:numPr>
          <w:ilvl w:val="0"/>
          <w:numId w:val="5"/>
        </w:numPr>
      </w:pPr>
      <w:r>
        <w:t>Seguimiento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Cohorte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estudio.</w:t>
      </w:r>
    </w:p>
    <w:p w14:paraId="76C1ED15" w14:textId="6F09CC1D" w:rsidR="001A50B8" w:rsidRDefault="0074748E" w:rsidP="001A50B8">
      <w:r>
        <w:t>No aplica.</w:t>
      </w:r>
    </w:p>
    <w:p w14:paraId="54C776E3" w14:textId="77777777" w:rsidR="00F04E5F" w:rsidRDefault="00F04E5F" w:rsidP="001A50B8"/>
    <w:p w14:paraId="08B12669" w14:textId="77777777" w:rsidR="001A50B8" w:rsidRPr="009D1F3C" w:rsidRDefault="001A50B8" w:rsidP="001A50B8">
      <w:pPr>
        <w:pStyle w:val="Heading2"/>
        <w:numPr>
          <w:ilvl w:val="0"/>
          <w:numId w:val="5"/>
        </w:numPr>
      </w:pPr>
      <w:r w:rsidRPr="00565751">
        <w:rPr>
          <w:spacing w:val="-1"/>
          <w:w w:val="119"/>
        </w:rPr>
        <w:t>P</w:t>
      </w:r>
      <w:r w:rsidRPr="00565751">
        <w:rPr>
          <w:w w:val="106"/>
        </w:rPr>
        <w:t>u</w:t>
      </w:r>
      <w:r w:rsidRPr="00565751">
        <w:rPr>
          <w:spacing w:val="2"/>
          <w:w w:val="108"/>
        </w:rPr>
        <w:t>b</w:t>
      </w:r>
      <w:r w:rsidRPr="00565751">
        <w:rPr>
          <w:w w:val="98"/>
        </w:rPr>
        <w:t>li</w:t>
      </w:r>
      <w:r w:rsidRPr="00565751">
        <w:rPr>
          <w:spacing w:val="1"/>
          <w:w w:val="108"/>
        </w:rPr>
        <w:t>c</w:t>
      </w:r>
      <w:r w:rsidRPr="00565751">
        <w:rPr>
          <w:w w:val="98"/>
        </w:rPr>
        <w:t>a</w:t>
      </w:r>
      <w:r w:rsidRPr="00565751">
        <w:rPr>
          <w:spacing w:val="1"/>
          <w:w w:val="108"/>
        </w:rPr>
        <w:t>c</w:t>
      </w:r>
      <w:r w:rsidRPr="00565751">
        <w:rPr>
          <w:w w:val="98"/>
        </w:rPr>
        <w:t>i</w:t>
      </w:r>
      <w:r w:rsidRPr="00565751">
        <w:rPr>
          <w:w w:val="103"/>
        </w:rPr>
        <w:t>o</w:t>
      </w:r>
      <w:r w:rsidRPr="00565751">
        <w:rPr>
          <w:spacing w:val="-3"/>
          <w:w w:val="106"/>
        </w:rPr>
        <w:t>n</w:t>
      </w:r>
      <w:r w:rsidRPr="00565751">
        <w:rPr>
          <w:w w:val="101"/>
        </w:rPr>
        <w:t>e</w:t>
      </w:r>
      <w:r w:rsidRPr="00565751">
        <w:rPr>
          <w:spacing w:val="4"/>
          <w:w w:val="93"/>
        </w:rPr>
        <w:t>s</w:t>
      </w:r>
      <w:r>
        <w:rPr>
          <w:spacing w:val="4"/>
          <w:w w:val="93"/>
        </w:rPr>
        <w:t>.</w:t>
      </w:r>
    </w:p>
    <w:p w14:paraId="0F1B2D4A" w14:textId="77777777" w:rsidR="001A50B8" w:rsidRDefault="001A50B8" w:rsidP="001A50B8">
      <w:r>
        <w:t>No aplica.</w:t>
      </w:r>
    </w:p>
    <w:p w14:paraId="4DBE4325" w14:textId="77777777" w:rsidR="00F04E5F" w:rsidRPr="009D1F3C" w:rsidRDefault="00F04E5F" w:rsidP="001A50B8"/>
    <w:p w14:paraId="20A52AA1" w14:textId="77777777" w:rsidR="001A50B8" w:rsidRPr="009D1F3C" w:rsidRDefault="001A50B8" w:rsidP="0074748E">
      <w:pPr>
        <w:pStyle w:val="Heading2"/>
        <w:numPr>
          <w:ilvl w:val="0"/>
          <w:numId w:val="5"/>
        </w:numPr>
      </w:pPr>
      <w:r w:rsidRPr="00565751">
        <w:t>Otros.</w:t>
      </w:r>
      <w:r w:rsidRPr="00565751">
        <w:rPr>
          <w:spacing w:val="-16"/>
        </w:rPr>
        <w:t xml:space="preserve"> </w:t>
      </w:r>
      <w:r w:rsidRPr="00565751">
        <w:t>Cualquier</w:t>
      </w:r>
      <w:r w:rsidRPr="00565751">
        <w:rPr>
          <w:spacing w:val="-16"/>
        </w:rPr>
        <w:t xml:space="preserve"> </w:t>
      </w:r>
      <w:r w:rsidRPr="00565751">
        <w:t>información</w:t>
      </w:r>
      <w:r w:rsidRPr="00565751">
        <w:rPr>
          <w:spacing w:val="-17"/>
        </w:rPr>
        <w:t xml:space="preserve"> </w:t>
      </w:r>
      <w:r w:rsidRPr="00565751">
        <w:t>extra</w:t>
      </w:r>
      <w:r w:rsidRPr="00565751">
        <w:rPr>
          <w:spacing w:val="-15"/>
        </w:rPr>
        <w:t xml:space="preserve"> </w:t>
      </w:r>
      <w:r w:rsidRPr="00565751">
        <w:t>que</w:t>
      </w:r>
      <w:r w:rsidRPr="00565751">
        <w:rPr>
          <w:spacing w:val="-17"/>
        </w:rPr>
        <w:t xml:space="preserve"> </w:t>
      </w:r>
      <w:r w:rsidRPr="00565751">
        <w:t>sea</w:t>
      </w:r>
      <w:r w:rsidRPr="00565751">
        <w:rPr>
          <w:spacing w:val="-15"/>
        </w:rPr>
        <w:t xml:space="preserve"> </w:t>
      </w:r>
      <w:r w:rsidRPr="00565751">
        <w:t>pertinente</w:t>
      </w:r>
      <w:r w:rsidRPr="00565751">
        <w:rPr>
          <w:spacing w:val="-17"/>
        </w:rPr>
        <w:t xml:space="preserve"> </w:t>
      </w:r>
      <w:r w:rsidRPr="00565751">
        <w:t>precisar</w:t>
      </w:r>
      <w:r w:rsidRPr="00565751">
        <w:rPr>
          <w:spacing w:val="-16"/>
        </w:rPr>
        <w:t xml:space="preserve"> </w:t>
      </w:r>
      <w:r w:rsidRPr="00565751">
        <w:t>o</w:t>
      </w:r>
      <w:r w:rsidRPr="00565751">
        <w:rPr>
          <w:spacing w:val="-18"/>
        </w:rPr>
        <w:t xml:space="preserve"> </w:t>
      </w:r>
      <w:r w:rsidRPr="00565751">
        <w:t>agregar.</w:t>
      </w:r>
    </w:p>
    <w:p w14:paraId="17153735" w14:textId="77777777" w:rsidR="001A50B8" w:rsidRPr="00387FCE" w:rsidRDefault="001A50B8" w:rsidP="00387FCE"/>
    <w:sectPr w:rsidR="001A50B8" w:rsidRPr="00387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76D"/>
    <w:multiLevelType w:val="hybridMultilevel"/>
    <w:tmpl w:val="193A3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6FB4"/>
    <w:multiLevelType w:val="hybridMultilevel"/>
    <w:tmpl w:val="5652E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7AD"/>
    <w:multiLevelType w:val="hybridMultilevel"/>
    <w:tmpl w:val="A7DE7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79C0"/>
    <w:multiLevelType w:val="hybridMultilevel"/>
    <w:tmpl w:val="4B06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0F3C"/>
    <w:multiLevelType w:val="hybridMultilevel"/>
    <w:tmpl w:val="23A6D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0589F"/>
    <w:multiLevelType w:val="hybridMultilevel"/>
    <w:tmpl w:val="72F6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0182F"/>
    <w:multiLevelType w:val="hybridMultilevel"/>
    <w:tmpl w:val="020AB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F63A6"/>
    <w:multiLevelType w:val="hybridMultilevel"/>
    <w:tmpl w:val="466E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53824"/>
    <w:multiLevelType w:val="hybridMultilevel"/>
    <w:tmpl w:val="E1D4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74960"/>
    <w:multiLevelType w:val="hybridMultilevel"/>
    <w:tmpl w:val="448E6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7894"/>
    <w:multiLevelType w:val="hybridMultilevel"/>
    <w:tmpl w:val="411C5B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D1269"/>
    <w:multiLevelType w:val="hybridMultilevel"/>
    <w:tmpl w:val="D5F829E4"/>
    <w:lvl w:ilvl="0" w:tplc="65A4C476">
      <w:start w:val="1"/>
      <w:numFmt w:val="decimal"/>
      <w:lvlText w:val="%1."/>
      <w:lvlJc w:val="left"/>
      <w:pPr>
        <w:ind w:left="821" w:hanging="360"/>
      </w:pPr>
      <w:rPr>
        <w:rFonts w:ascii="Verdana" w:eastAsia="Verdana" w:hAnsi="Verdana" w:cs="Verdana" w:hint="default"/>
        <w:b/>
        <w:bCs/>
        <w:spacing w:val="0"/>
        <w:w w:val="60"/>
        <w:sz w:val="21"/>
        <w:szCs w:val="21"/>
        <w:lang w:val="es-ES" w:eastAsia="en-US" w:bidi="ar-SA"/>
      </w:rPr>
    </w:lvl>
    <w:lvl w:ilvl="1" w:tplc="7046AE4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8490F13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99232A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93B2887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0C38198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C630D03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CE1475B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1354E2F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0C6536F"/>
    <w:multiLevelType w:val="hybridMultilevel"/>
    <w:tmpl w:val="B59E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C1ADD"/>
    <w:multiLevelType w:val="hybridMultilevel"/>
    <w:tmpl w:val="6DBC3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87CB9"/>
    <w:multiLevelType w:val="hybridMultilevel"/>
    <w:tmpl w:val="6742B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D37EF"/>
    <w:multiLevelType w:val="hybridMultilevel"/>
    <w:tmpl w:val="2ADC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52BE7"/>
    <w:multiLevelType w:val="hybridMultilevel"/>
    <w:tmpl w:val="12B6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85786">
    <w:abstractNumId w:val="11"/>
  </w:num>
  <w:num w:numId="2" w16cid:durableId="2064868135">
    <w:abstractNumId w:val="1"/>
  </w:num>
  <w:num w:numId="3" w16cid:durableId="819467082">
    <w:abstractNumId w:val="7"/>
  </w:num>
  <w:num w:numId="4" w16cid:durableId="1687319506">
    <w:abstractNumId w:val="0"/>
  </w:num>
  <w:num w:numId="5" w16cid:durableId="2091267795">
    <w:abstractNumId w:val="14"/>
  </w:num>
  <w:num w:numId="6" w16cid:durableId="213809948">
    <w:abstractNumId w:val="5"/>
  </w:num>
  <w:num w:numId="7" w16cid:durableId="676150907">
    <w:abstractNumId w:val="8"/>
  </w:num>
  <w:num w:numId="8" w16cid:durableId="2087528073">
    <w:abstractNumId w:val="2"/>
  </w:num>
  <w:num w:numId="9" w16cid:durableId="1670675977">
    <w:abstractNumId w:val="13"/>
  </w:num>
  <w:num w:numId="10" w16cid:durableId="1557205317">
    <w:abstractNumId w:val="9"/>
  </w:num>
  <w:num w:numId="11" w16cid:durableId="2099984024">
    <w:abstractNumId w:val="6"/>
  </w:num>
  <w:num w:numId="12" w16cid:durableId="13002638">
    <w:abstractNumId w:val="4"/>
  </w:num>
  <w:num w:numId="13" w16cid:durableId="1663967400">
    <w:abstractNumId w:val="15"/>
  </w:num>
  <w:num w:numId="14" w16cid:durableId="2141723051">
    <w:abstractNumId w:val="10"/>
  </w:num>
  <w:num w:numId="15" w16cid:durableId="172885683">
    <w:abstractNumId w:val="3"/>
  </w:num>
  <w:num w:numId="16" w16cid:durableId="1506432852">
    <w:abstractNumId w:val="16"/>
  </w:num>
  <w:num w:numId="17" w16cid:durableId="1384795849">
    <w:abstractNumId w:val="10"/>
  </w:num>
  <w:num w:numId="18" w16cid:durableId="1592716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8A"/>
    <w:rsid w:val="001A50B8"/>
    <w:rsid w:val="00387FCE"/>
    <w:rsid w:val="004E498A"/>
    <w:rsid w:val="00500838"/>
    <w:rsid w:val="0074748E"/>
    <w:rsid w:val="007E2653"/>
    <w:rsid w:val="009C2708"/>
    <w:rsid w:val="00DF6BF3"/>
    <w:rsid w:val="00E12335"/>
    <w:rsid w:val="00E93CED"/>
    <w:rsid w:val="00F04E5F"/>
    <w:rsid w:val="00F9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59BF"/>
  <w15:chartTrackingRefBased/>
  <w15:docId w15:val="{831432A9-19DD-4204-A323-3B45CBC7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98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9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9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/>
      <w14:ligatures w14:val="none"/>
    </w:rPr>
  </w:style>
  <w:style w:type="paragraph" w:styleId="ListParagraph">
    <w:name w:val="List Paragraph"/>
    <w:basedOn w:val="Normal"/>
    <w:uiPriority w:val="34"/>
    <w:qFormat/>
    <w:rsid w:val="004E498A"/>
    <w:pPr>
      <w:spacing w:before="120"/>
      <w:ind w:left="821" w:hanging="361"/>
    </w:pPr>
    <w:rPr>
      <w:color w:val="44546A" w:themeColor="tex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498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387FCE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44546A" w:themeColor="text2"/>
      <w:kern w:val="2"/>
      <w:sz w:val="18"/>
      <w:szCs w:val="18"/>
      <w:lang w:val="en-US"/>
      <w14:ligatures w14:val="standardContextual"/>
    </w:rPr>
  </w:style>
  <w:style w:type="character" w:styleId="BookTitle">
    <w:name w:val="Book Title"/>
    <w:basedOn w:val="DefaultParagraphFont"/>
    <w:uiPriority w:val="33"/>
    <w:qFormat/>
    <w:rsid w:val="00387FCE"/>
    <w:rPr>
      <w:b/>
      <w:bCs/>
      <w:i/>
      <w:iC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387FCE"/>
    <w:pPr>
      <w:widowControl/>
      <w:autoSpaceDE/>
      <w:autoSpaceDN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7FCE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DF6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e.cdmx.gob.mx/default.php?opc=%27aKBh%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sc.gsfc.nasa.gov/datasets/M2SDNXSLV_5.12.4/summ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re.cdmx.gob.mx/default.php?opc=%27aKBi%27" TargetMode="External"/><Relationship Id="rId11" Type="http://schemas.openxmlformats.org/officeDocument/2006/relationships/hyperlink" Target="https://1drv.ms/u/s!AtMgnjYpElvzg5dmjBS-3RFcSb9i4Q?e=5ynUIh" TargetMode="External"/><Relationship Id="rId5" Type="http://schemas.openxmlformats.org/officeDocument/2006/relationships/hyperlink" Target="http://www.aire.cdmx.gob.mx/default.php?opc=%27aKBh%27" TargetMode="External"/><Relationship Id="rId10" Type="http://schemas.openxmlformats.org/officeDocument/2006/relationships/hyperlink" Target="https://disc.gsfc.nasa.gov/datasets/M2SDNXSLV_5.12.4/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re.cdmx.gob.mx/default.php?opc=%27aKBi%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Morín García</dc:creator>
  <cp:keywords/>
  <dc:description/>
  <cp:lastModifiedBy>Diana Elizabeth Carrizales Espinoza</cp:lastModifiedBy>
  <cp:revision>7</cp:revision>
  <dcterms:created xsi:type="dcterms:W3CDTF">2023-02-23T23:53:00Z</dcterms:created>
  <dcterms:modified xsi:type="dcterms:W3CDTF">2023-08-29T14:53:00Z</dcterms:modified>
</cp:coreProperties>
</file>